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A07" w:rsidRPr="002E27F0" w:rsidRDefault="00EB3A07" w:rsidP="00EB3A07">
      <w:pPr>
        <w:spacing w:after="0" w:line="360" w:lineRule="auto"/>
        <w:jc w:val="both"/>
        <w:rPr>
          <w:rFonts w:ascii="Palatino Linotype" w:hAnsi="Palatino Linotype" w:cs="Arial"/>
          <w:sz w:val="24"/>
          <w:szCs w:val="24"/>
        </w:rPr>
      </w:pPr>
      <w:r w:rsidRPr="002E27F0">
        <w:rPr>
          <w:rFonts w:ascii="Palatino Linotype" w:hAnsi="Palatino Linotype" w:cs="Arial"/>
          <w:b/>
          <w:sz w:val="24"/>
          <w:szCs w:val="24"/>
        </w:rPr>
        <w:t>VOTO PARTICULAR CONCURRENTE DE LOS COMISIONADO LUIS GUSTAVO PARRA NORIEGA Y EL COMISIONADO JOSÉ GUADALUPE LUNA HERNÁNDEZ EN EL RECURSO DE REVISIÓN 02542/INFOEM/IP/RR/2018.</w:t>
      </w:r>
    </w:p>
    <w:p w:rsidR="00EB3A07" w:rsidRPr="002E27F0" w:rsidRDefault="00EB3A07" w:rsidP="00EB3A07">
      <w:pPr>
        <w:spacing w:after="0" w:line="360" w:lineRule="auto"/>
        <w:jc w:val="both"/>
        <w:rPr>
          <w:rFonts w:ascii="Palatino Linotype" w:hAnsi="Palatino Linotype" w:cs="Arial"/>
          <w:sz w:val="24"/>
          <w:szCs w:val="24"/>
        </w:rPr>
      </w:pPr>
    </w:p>
    <w:p w:rsidR="00A6495C" w:rsidRPr="002E27F0" w:rsidRDefault="00EB3A07" w:rsidP="00EB3A07">
      <w:pPr>
        <w:spacing w:after="0" w:line="360" w:lineRule="auto"/>
        <w:jc w:val="both"/>
        <w:rPr>
          <w:rFonts w:ascii="Palatino Linotype" w:hAnsi="Palatino Linotype" w:cs="Arial"/>
          <w:b/>
          <w:sz w:val="24"/>
          <w:szCs w:val="24"/>
        </w:rPr>
      </w:pPr>
      <w:r w:rsidRPr="002E27F0">
        <w:rPr>
          <w:rFonts w:ascii="Palatino Linotype" w:hAnsi="Palatino Linotype" w:cs="Arial"/>
          <w:b/>
          <w:sz w:val="24"/>
          <w:szCs w:val="24"/>
        </w:rPr>
        <w:t xml:space="preserve">Resumen del voto: </w:t>
      </w:r>
      <w:r w:rsidRPr="002E27F0">
        <w:rPr>
          <w:rFonts w:ascii="Palatino Linotype" w:hAnsi="Palatino Linotype" w:cs="Arial"/>
          <w:sz w:val="24"/>
          <w:szCs w:val="24"/>
        </w:rPr>
        <w:t xml:space="preserve">Se presenta el voto particular </w:t>
      </w:r>
      <w:r w:rsidR="00A6495C" w:rsidRPr="002E27F0">
        <w:rPr>
          <w:rFonts w:ascii="Palatino Linotype" w:hAnsi="Palatino Linotype" w:cs="Arial"/>
          <w:sz w:val="24"/>
          <w:szCs w:val="24"/>
        </w:rPr>
        <w:t xml:space="preserve">concurrente </w:t>
      </w:r>
      <w:r w:rsidRPr="002E27F0">
        <w:rPr>
          <w:rFonts w:ascii="Palatino Linotype" w:hAnsi="Palatino Linotype" w:cs="Arial"/>
          <w:sz w:val="24"/>
          <w:szCs w:val="24"/>
        </w:rPr>
        <w:t xml:space="preserve">en razón de que </w:t>
      </w:r>
      <w:r w:rsidR="00A6495C" w:rsidRPr="002E27F0">
        <w:rPr>
          <w:rFonts w:ascii="Palatino Linotype" w:hAnsi="Palatino Linotype" w:cs="Arial"/>
          <w:sz w:val="24"/>
          <w:szCs w:val="24"/>
        </w:rPr>
        <w:t xml:space="preserve">se considera que el sentido de la resolución debió ser </w:t>
      </w:r>
      <w:r w:rsidR="00A6495C" w:rsidRPr="000D61ED">
        <w:rPr>
          <w:rFonts w:ascii="Palatino Linotype" w:hAnsi="Palatino Linotype" w:cs="Arial"/>
          <w:b/>
          <w:sz w:val="24"/>
          <w:szCs w:val="24"/>
        </w:rPr>
        <w:t>CONFIRMAR</w:t>
      </w:r>
      <w:r w:rsidR="00A6495C" w:rsidRPr="002E27F0">
        <w:rPr>
          <w:rFonts w:ascii="Palatino Linotype" w:hAnsi="Palatino Linotype" w:cs="Arial"/>
          <w:sz w:val="24"/>
          <w:szCs w:val="24"/>
        </w:rPr>
        <w:t xml:space="preserve"> la respuesta del Sujeto Obligado, puesto que atendió la literalidad de la solicitud, aunado a que los motivos o razones de inconformidad hechos valer por la parte recurrente, no tienen </w:t>
      </w:r>
      <w:r w:rsidR="00B67AB6" w:rsidRPr="002E27F0">
        <w:rPr>
          <w:rFonts w:ascii="Palatino Linotype" w:hAnsi="Palatino Linotype" w:cs="Arial"/>
          <w:sz w:val="24"/>
          <w:szCs w:val="24"/>
        </w:rPr>
        <w:t>una</w:t>
      </w:r>
      <w:r w:rsidR="00A6495C" w:rsidRPr="002E27F0">
        <w:rPr>
          <w:rFonts w:ascii="Palatino Linotype" w:hAnsi="Palatino Linotype" w:cs="Arial"/>
          <w:sz w:val="24"/>
          <w:szCs w:val="24"/>
        </w:rPr>
        <w:t xml:space="preserve"> adecuada relación con la solicitud. Robustece lo aquí planteado, que en respuesta se previó dicha situación y se realizó una correcta orientación al Sujeto Obligado que cuenta con atribuciones </w:t>
      </w:r>
      <w:r w:rsidR="00A6495C" w:rsidRPr="002E27F0">
        <w:rPr>
          <w:rFonts w:ascii="Palatino Linotype" w:hAnsi="Palatino Linotype" w:cs="Arial"/>
          <w:sz w:val="24"/>
        </w:rPr>
        <w:t>relativas al transporte de uso particular</w:t>
      </w:r>
      <w:r w:rsidR="007F7EDB" w:rsidRPr="002E27F0">
        <w:rPr>
          <w:rFonts w:ascii="Palatino Linotype" w:hAnsi="Palatino Linotype" w:cs="Arial"/>
          <w:sz w:val="24"/>
        </w:rPr>
        <w:t xml:space="preserve">, </w:t>
      </w:r>
      <w:r w:rsidR="00604F0A" w:rsidRPr="002E27F0">
        <w:rPr>
          <w:rFonts w:ascii="Palatino Linotype" w:hAnsi="Palatino Linotype" w:cs="Arial"/>
          <w:sz w:val="24"/>
        </w:rPr>
        <w:t>que es el tema medular de la pro</w:t>
      </w:r>
      <w:r w:rsidR="007F7EDB" w:rsidRPr="002E27F0">
        <w:rPr>
          <w:rFonts w:ascii="Palatino Linotype" w:hAnsi="Palatino Linotype" w:cs="Arial"/>
          <w:sz w:val="24"/>
        </w:rPr>
        <w:t>cedencia del recurso de revisión.</w:t>
      </w:r>
    </w:p>
    <w:p w:rsidR="00EB3A07" w:rsidRPr="002E27F0" w:rsidRDefault="00EB3A07" w:rsidP="00EB3A07">
      <w:pPr>
        <w:spacing w:after="0" w:line="360" w:lineRule="auto"/>
        <w:jc w:val="both"/>
        <w:rPr>
          <w:rFonts w:ascii="Palatino Linotype" w:hAnsi="Palatino Linotype" w:cs="Arial"/>
          <w:sz w:val="24"/>
          <w:szCs w:val="24"/>
        </w:rPr>
      </w:pPr>
      <w:r w:rsidRPr="002E27F0">
        <w:rPr>
          <w:rFonts w:ascii="Palatino Linotype" w:hAnsi="Palatino Linotype" w:cs="Arial"/>
          <w:b/>
          <w:sz w:val="24"/>
          <w:szCs w:val="24"/>
        </w:rPr>
        <w:t>Índice</w:t>
      </w:r>
    </w:p>
    <w:sdt>
      <w:sdtPr>
        <w:rPr>
          <w:rFonts w:asciiTheme="minorHAnsi" w:eastAsiaTheme="minorHAnsi" w:hAnsiTheme="minorHAnsi" w:cstheme="minorBidi"/>
          <w:color w:val="auto"/>
          <w:sz w:val="22"/>
          <w:szCs w:val="22"/>
          <w:lang w:val="es-ES" w:eastAsia="en-US"/>
        </w:rPr>
        <w:id w:val="-1899583050"/>
        <w:docPartObj>
          <w:docPartGallery w:val="Table of Contents"/>
          <w:docPartUnique/>
        </w:docPartObj>
      </w:sdtPr>
      <w:sdtEndPr>
        <w:rPr>
          <w:b/>
          <w:bCs/>
        </w:rPr>
      </w:sdtEndPr>
      <w:sdtContent>
        <w:p w:rsidR="00EB3A07" w:rsidRPr="002E27F0" w:rsidRDefault="00EB3A07" w:rsidP="00EB3A07">
          <w:pPr>
            <w:pStyle w:val="TtulodeTDC"/>
          </w:pPr>
        </w:p>
        <w:p w:rsidR="00C165D4" w:rsidRDefault="00EB3A07">
          <w:pPr>
            <w:pStyle w:val="TDC1"/>
            <w:rPr>
              <w:rFonts w:eastAsiaTheme="minorEastAsia"/>
              <w:noProof/>
              <w:lang w:eastAsia="es-MX"/>
            </w:rPr>
          </w:pPr>
          <w:r w:rsidRPr="002E27F0">
            <w:fldChar w:fldCharType="begin"/>
          </w:r>
          <w:r w:rsidRPr="002E27F0">
            <w:instrText xml:space="preserve"> TOC \o "1-3" \h \z \u </w:instrText>
          </w:r>
          <w:r w:rsidRPr="002E27F0">
            <w:fldChar w:fldCharType="separate"/>
          </w:r>
          <w:hyperlink w:anchor="_Toc524961047" w:history="1">
            <w:r w:rsidR="00C165D4" w:rsidRPr="002D2DD1">
              <w:rPr>
                <w:rStyle w:val="Hipervnculo"/>
                <w:rFonts w:ascii="Palatino Linotype" w:hAnsi="Palatino Linotype"/>
                <w:b/>
                <w:noProof/>
              </w:rPr>
              <w:t>I.</w:t>
            </w:r>
            <w:r w:rsidR="00C165D4">
              <w:rPr>
                <w:rFonts w:eastAsiaTheme="minorEastAsia"/>
                <w:noProof/>
                <w:lang w:eastAsia="es-MX"/>
              </w:rPr>
              <w:tab/>
            </w:r>
            <w:r w:rsidR="00C165D4" w:rsidRPr="002D2DD1">
              <w:rPr>
                <w:rStyle w:val="Hipervnculo"/>
                <w:rFonts w:ascii="Palatino Linotype" w:hAnsi="Palatino Linotype"/>
                <w:b/>
                <w:noProof/>
              </w:rPr>
              <w:t>Consideraciones Generales.</w:t>
            </w:r>
            <w:r w:rsidR="00C165D4">
              <w:rPr>
                <w:noProof/>
                <w:webHidden/>
              </w:rPr>
              <w:tab/>
            </w:r>
            <w:r w:rsidR="00C165D4">
              <w:rPr>
                <w:noProof/>
                <w:webHidden/>
              </w:rPr>
              <w:fldChar w:fldCharType="begin"/>
            </w:r>
            <w:r w:rsidR="00C165D4">
              <w:rPr>
                <w:noProof/>
                <w:webHidden/>
              </w:rPr>
              <w:instrText xml:space="preserve"> PAGEREF _Toc524961047 \h </w:instrText>
            </w:r>
            <w:r w:rsidR="00C165D4">
              <w:rPr>
                <w:noProof/>
                <w:webHidden/>
              </w:rPr>
            </w:r>
            <w:r w:rsidR="00C165D4">
              <w:rPr>
                <w:noProof/>
                <w:webHidden/>
              </w:rPr>
              <w:fldChar w:fldCharType="separate"/>
            </w:r>
            <w:r w:rsidR="00C165D4">
              <w:rPr>
                <w:noProof/>
                <w:webHidden/>
              </w:rPr>
              <w:t>2</w:t>
            </w:r>
            <w:r w:rsidR="00C165D4">
              <w:rPr>
                <w:noProof/>
                <w:webHidden/>
              </w:rPr>
              <w:fldChar w:fldCharType="end"/>
            </w:r>
          </w:hyperlink>
        </w:p>
        <w:p w:rsidR="00C165D4" w:rsidRDefault="00575FBB">
          <w:pPr>
            <w:pStyle w:val="TDC1"/>
            <w:rPr>
              <w:rFonts w:eastAsiaTheme="minorEastAsia"/>
              <w:noProof/>
              <w:lang w:eastAsia="es-MX"/>
            </w:rPr>
          </w:pPr>
          <w:hyperlink w:anchor="_Toc524961048" w:history="1">
            <w:r w:rsidR="00C165D4" w:rsidRPr="002D2DD1">
              <w:rPr>
                <w:rStyle w:val="Hipervnculo"/>
                <w:rFonts w:ascii="Palatino Linotype" w:hAnsi="Palatino Linotype"/>
                <w:b/>
                <w:noProof/>
              </w:rPr>
              <w:t>II.</w:t>
            </w:r>
            <w:r w:rsidR="00C165D4">
              <w:rPr>
                <w:rFonts w:eastAsiaTheme="minorEastAsia"/>
                <w:noProof/>
                <w:lang w:eastAsia="es-MX"/>
              </w:rPr>
              <w:tab/>
            </w:r>
            <w:r w:rsidR="00C165D4" w:rsidRPr="002D2DD1">
              <w:rPr>
                <w:rStyle w:val="Hipervnculo"/>
                <w:rFonts w:ascii="Palatino Linotype" w:hAnsi="Palatino Linotype"/>
                <w:b/>
                <w:noProof/>
              </w:rPr>
              <w:t>De los requerimientos planteados en el recurso de revisión.</w:t>
            </w:r>
            <w:r w:rsidR="00C165D4">
              <w:rPr>
                <w:noProof/>
                <w:webHidden/>
              </w:rPr>
              <w:tab/>
            </w:r>
            <w:r w:rsidR="00C165D4">
              <w:rPr>
                <w:noProof/>
                <w:webHidden/>
              </w:rPr>
              <w:fldChar w:fldCharType="begin"/>
            </w:r>
            <w:r w:rsidR="00C165D4">
              <w:rPr>
                <w:noProof/>
                <w:webHidden/>
              </w:rPr>
              <w:instrText xml:space="preserve"> PAGEREF _Toc524961048 \h </w:instrText>
            </w:r>
            <w:r w:rsidR="00C165D4">
              <w:rPr>
                <w:noProof/>
                <w:webHidden/>
              </w:rPr>
            </w:r>
            <w:r w:rsidR="00C165D4">
              <w:rPr>
                <w:noProof/>
                <w:webHidden/>
              </w:rPr>
              <w:fldChar w:fldCharType="separate"/>
            </w:r>
            <w:r w:rsidR="00C165D4">
              <w:rPr>
                <w:noProof/>
                <w:webHidden/>
              </w:rPr>
              <w:t>2</w:t>
            </w:r>
            <w:r w:rsidR="00C165D4">
              <w:rPr>
                <w:noProof/>
                <w:webHidden/>
              </w:rPr>
              <w:fldChar w:fldCharType="end"/>
            </w:r>
          </w:hyperlink>
        </w:p>
        <w:p w:rsidR="00C165D4" w:rsidRDefault="00575FBB">
          <w:pPr>
            <w:pStyle w:val="TDC1"/>
            <w:rPr>
              <w:rFonts w:eastAsiaTheme="minorEastAsia"/>
              <w:noProof/>
              <w:lang w:eastAsia="es-MX"/>
            </w:rPr>
          </w:pPr>
          <w:hyperlink w:anchor="_Toc524961049" w:history="1">
            <w:r w:rsidR="00C165D4" w:rsidRPr="002D2DD1">
              <w:rPr>
                <w:rStyle w:val="Hipervnculo"/>
                <w:rFonts w:ascii="Palatino Linotype" w:hAnsi="Palatino Linotype"/>
                <w:b/>
                <w:noProof/>
              </w:rPr>
              <w:t>III.</w:t>
            </w:r>
            <w:r w:rsidR="00C165D4">
              <w:rPr>
                <w:rFonts w:eastAsiaTheme="minorEastAsia"/>
                <w:noProof/>
                <w:lang w:eastAsia="es-MX"/>
              </w:rPr>
              <w:tab/>
            </w:r>
            <w:r w:rsidR="00C165D4" w:rsidRPr="002D2DD1">
              <w:rPr>
                <w:rStyle w:val="Hipervnculo"/>
                <w:rFonts w:ascii="Palatino Linotype" w:hAnsi="Palatino Linotype"/>
                <w:b/>
                <w:noProof/>
              </w:rPr>
              <w:t>Análisis a la solicitud de acceso a la información pública.</w:t>
            </w:r>
            <w:r w:rsidR="00C165D4">
              <w:rPr>
                <w:noProof/>
                <w:webHidden/>
              </w:rPr>
              <w:tab/>
            </w:r>
            <w:r w:rsidR="00C165D4">
              <w:rPr>
                <w:noProof/>
                <w:webHidden/>
              </w:rPr>
              <w:fldChar w:fldCharType="begin"/>
            </w:r>
            <w:r w:rsidR="00C165D4">
              <w:rPr>
                <w:noProof/>
                <w:webHidden/>
              </w:rPr>
              <w:instrText xml:space="preserve"> PAGEREF _Toc524961049 \h </w:instrText>
            </w:r>
            <w:r w:rsidR="00C165D4">
              <w:rPr>
                <w:noProof/>
                <w:webHidden/>
              </w:rPr>
            </w:r>
            <w:r w:rsidR="00C165D4">
              <w:rPr>
                <w:noProof/>
                <w:webHidden/>
              </w:rPr>
              <w:fldChar w:fldCharType="separate"/>
            </w:r>
            <w:r w:rsidR="00C165D4">
              <w:rPr>
                <w:noProof/>
                <w:webHidden/>
              </w:rPr>
              <w:t>5</w:t>
            </w:r>
            <w:r w:rsidR="00C165D4">
              <w:rPr>
                <w:noProof/>
                <w:webHidden/>
              </w:rPr>
              <w:fldChar w:fldCharType="end"/>
            </w:r>
          </w:hyperlink>
        </w:p>
        <w:p w:rsidR="00C165D4" w:rsidRDefault="00575FBB">
          <w:pPr>
            <w:pStyle w:val="TDC1"/>
            <w:rPr>
              <w:rFonts w:eastAsiaTheme="minorEastAsia"/>
              <w:noProof/>
              <w:lang w:eastAsia="es-MX"/>
            </w:rPr>
          </w:pPr>
          <w:hyperlink w:anchor="_Toc524961050" w:history="1">
            <w:r w:rsidR="00C165D4" w:rsidRPr="002D2DD1">
              <w:rPr>
                <w:rStyle w:val="Hipervnculo"/>
                <w:rFonts w:ascii="Palatino Linotype" w:hAnsi="Palatino Linotype"/>
                <w:b/>
                <w:noProof/>
              </w:rPr>
              <w:t>IV.</w:t>
            </w:r>
            <w:r w:rsidR="00C165D4">
              <w:rPr>
                <w:rFonts w:eastAsiaTheme="minorEastAsia"/>
                <w:noProof/>
                <w:lang w:eastAsia="es-MX"/>
              </w:rPr>
              <w:tab/>
            </w:r>
            <w:r w:rsidR="00C165D4" w:rsidRPr="002D2DD1">
              <w:rPr>
                <w:rStyle w:val="Hipervnculo"/>
                <w:rFonts w:ascii="Palatino Linotype" w:hAnsi="Palatino Linotype"/>
                <w:b/>
                <w:noProof/>
              </w:rPr>
              <w:t>CONCLUSIÓN</w:t>
            </w:r>
            <w:r w:rsidR="00C165D4">
              <w:rPr>
                <w:noProof/>
                <w:webHidden/>
              </w:rPr>
              <w:tab/>
            </w:r>
            <w:r w:rsidR="00C165D4">
              <w:rPr>
                <w:noProof/>
                <w:webHidden/>
              </w:rPr>
              <w:fldChar w:fldCharType="begin"/>
            </w:r>
            <w:r w:rsidR="00C165D4">
              <w:rPr>
                <w:noProof/>
                <w:webHidden/>
              </w:rPr>
              <w:instrText xml:space="preserve"> PAGEREF _Toc524961050 \h </w:instrText>
            </w:r>
            <w:r w:rsidR="00C165D4">
              <w:rPr>
                <w:noProof/>
                <w:webHidden/>
              </w:rPr>
            </w:r>
            <w:r w:rsidR="00C165D4">
              <w:rPr>
                <w:noProof/>
                <w:webHidden/>
              </w:rPr>
              <w:fldChar w:fldCharType="separate"/>
            </w:r>
            <w:r w:rsidR="00C165D4">
              <w:rPr>
                <w:noProof/>
                <w:webHidden/>
              </w:rPr>
              <w:t>9</w:t>
            </w:r>
            <w:r w:rsidR="00C165D4">
              <w:rPr>
                <w:noProof/>
                <w:webHidden/>
              </w:rPr>
              <w:fldChar w:fldCharType="end"/>
            </w:r>
          </w:hyperlink>
        </w:p>
        <w:p w:rsidR="00B67AB6" w:rsidRPr="002E27F0" w:rsidRDefault="00EB3A07" w:rsidP="00604F0A">
          <w:r w:rsidRPr="002E27F0">
            <w:rPr>
              <w:b/>
              <w:bCs/>
              <w:lang w:val="es-ES"/>
            </w:rPr>
            <w:lastRenderedPageBreak/>
            <w:fldChar w:fldCharType="end"/>
          </w:r>
        </w:p>
      </w:sdtContent>
    </w:sdt>
    <w:p w:rsidR="00EB3A07" w:rsidRPr="002E27F0" w:rsidRDefault="00EB3A07" w:rsidP="00EB3A07">
      <w:pPr>
        <w:pStyle w:val="Ttulo1"/>
        <w:numPr>
          <w:ilvl w:val="0"/>
          <w:numId w:val="13"/>
        </w:numPr>
        <w:rPr>
          <w:rFonts w:ascii="Palatino Linotype" w:hAnsi="Palatino Linotype"/>
          <w:b/>
          <w:color w:val="auto"/>
          <w:sz w:val="24"/>
          <w:szCs w:val="24"/>
        </w:rPr>
      </w:pPr>
      <w:bookmarkStart w:id="0" w:name="_Toc524961047"/>
      <w:r w:rsidRPr="002E27F0">
        <w:rPr>
          <w:rFonts w:ascii="Palatino Linotype" w:hAnsi="Palatino Linotype"/>
          <w:b/>
          <w:color w:val="auto"/>
          <w:sz w:val="24"/>
          <w:szCs w:val="24"/>
        </w:rPr>
        <w:t>Consideraciones Generales.</w:t>
      </w:r>
      <w:bookmarkEnd w:id="0"/>
    </w:p>
    <w:p w:rsidR="00EB3A07" w:rsidRPr="002E27F0" w:rsidRDefault="00EB3A07" w:rsidP="00EB3A07">
      <w:pPr>
        <w:pStyle w:val="Prrafodelista"/>
        <w:spacing w:line="360" w:lineRule="auto"/>
        <w:ind w:left="1080"/>
        <w:jc w:val="both"/>
        <w:rPr>
          <w:rFonts w:ascii="Palatino Linotype" w:hAnsi="Palatino Linotype" w:cs="Arial"/>
          <w:b/>
        </w:rPr>
      </w:pPr>
    </w:p>
    <w:p w:rsidR="00EB3A07" w:rsidRPr="002E27F0" w:rsidRDefault="00604F0A" w:rsidP="00EB3A07">
      <w:pPr>
        <w:pStyle w:val="Prrafodelista"/>
        <w:numPr>
          <w:ilvl w:val="0"/>
          <w:numId w:val="12"/>
        </w:numPr>
        <w:spacing w:line="360" w:lineRule="auto"/>
        <w:ind w:left="426"/>
        <w:jc w:val="both"/>
        <w:rPr>
          <w:rFonts w:ascii="Palatino Linotype" w:hAnsi="Palatino Linotype" w:cs="Arial"/>
        </w:rPr>
      </w:pPr>
      <w:r w:rsidRPr="002E27F0">
        <w:rPr>
          <w:rFonts w:ascii="Palatino Linotype" w:eastAsia="Times New Roman" w:hAnsi="Palatino Linotype" w:cs="Arial"/>
          <w:lang w:val="es-ES_tradnl"/>
        </w:rPr>
        <w:t>Consideramos</w:t>
      </w:r>
      <w:r w:rsidR="00EB3A07" w:rsidRPr="002E27F0">
        <w:rPr>
          <w:rFonts w:ascii="Palatino Linotype" w:eastAsia="Times New Roman" w:hAnsi="Palatino Linotype" w:cs="Arial"/>
          <w:lang w:val="es-ES_tradnl"/>
        </w:rPr>
        <w:t xml:space="preserve"> emitir el presente voto particular concurrente de la presente resolución del</w:t>
      </w:r>
      <w:r w:rsidR="00EB3A07" w:rsidRPr="002E27F0">
        <w:rPr>
          <w:rFonts w:ascii="Palatino Linotype" w:hAnsi="Palatino Linotype" w:cs="Arial"/>
        </w:rPr>
        <w:t xml:space="preserve"> Pleno del Instituto de Transparencia, Acceso a la Información Pública y Protección de Datos Personales del Estado de México y Municipios, en su Trigésimo Tercera sesión ordinaria de fecha doce (12) de septiembre de dos mil dieciocho, en el recurso de revisión promovido por</w:t>
      </w:r>
      <w:r w:rsidR="00EB3A07" w:rsidRPr="002E27F0">
        <w:rPr>
          <w:rFonts w:ascii="Palatino Linotype" w:hAnsi="Palatino Linotype" w:cs="Arial"/>
          <w:b/>
        </w:rPr>
        <w:t xml:space="preserve"> </w:t>
      </w:r>
      <w:r w:rsidR="00575FBB" w:rsidRPr="00575FBB">
        <w:rPr>
          <w:rFonts w:ascii="Palatino Linotype" w:hAnsi="Palatino Linotype"/>
          <w:b/>
          <w:highlight w:val="black"/>
          <w:lang w:val="es-ES_tradnl"/>
        </w:rPr>
        <w:t>-------------------------------------------------</w:t>
      </w:r>
      <w:r w:rsidR="00EB3A07" w:rsidRPr="002E27F0">
        <w:rPr>
          <w:rFonts w:ascii="Palatino Linotype" w:hAnsi="Palatino Linotype" w:cs="Arial"/>
        </w:rPr>
        <w:t>,</w:t>
      </w:r>
      <w:r w:rsidR="00EB3A07" w:rsidRPr="002E27F0">
        <w:rPr>
          <w:rFonts w:ascii="Palatino Linotype" w:hAnsi="Palatino Linotype" w:cs="Arial"/>
          <w:b/>
        </w:rPr>
        <w:t xml:space="preserve"> </w:t>
      </w:r>
      <w:r w:rsidR="00EB3A07" w:rsidRPr="002E27F0">
        <w:rPr>
          <w:rFonts w:ascii="Palatino Linotype" w:hAnsi="Palatino Linotype" w:cs="Arial"/>
        </w:rPr>
        <w:t xml:space="preserve">en contra de la respuesta de la </w:t>
      </w:r>
      <w:r w:rsidR="00EB3A07" w:rsidRPr="002E27F0">
        <w:rPr>
          <w:rFonts w:ascii="Palatino Linotype" w:hAnsi="Palatino Linotype"/>
          <w:b/>
        </w:rPr>
        <w:t>Secretaría de Movilidad</w:t>
      </w:r>
      <w:r w:rsidR="00EB3A07" w:rsidRPr="002E27F0">
        <w:rPr>
          <w:rFonts w:ascii="Palatino Linotype" w:hAnsi="Palatino Linotype" w:cs="Arial"/>
        </w:rPr>
        <w:t xml:space="preserve">, procedimiento al que se le asignó el número de expediente </w:t>
      </w:r>
      <w:r w:rsidR="00EB3A07" w:rsidRPr="002E27F0">
        <w:rPr>
          <w:rFonts w:ascii="Palatino Linotype" w:eastAsia="Times New Roman" w:hAnsi="Palatino Linotype" w:cs="Arial"/>
          <w:b/>
          <w:bCs/>
        </w:rPr>
        <w:t>02542/INFOEM/IP/RR/2018.</w:t>
      </w:r>
    </w:p>
    <w:p w:rsidR="00B67AB6" w:rsidRPr="002E27F0" w:rsidRDefault="00B67AB6" w:rsidP="00B67AB6">
      <w:pPr>
        <w:pStyle w:val="Prrafodelista"/>
        <w:spacing w:line="360" w:lineRule="auto"/>
        <w:ind w:left="426"/>
        <w:jc w:val="both"/>
        <w:rPr>
          <w:rFonts w:ascii="Palatino Linotype" w:hAnsi="Palatino Linotype" w:cs="Arial"/>
        </w:rPr>
      </w:pPr>
    </w:p>
    <w:p w:rsidR="00EB3A07" w:rsidRPr="002E27F0" w:rsidRDefault="00EB3A07" w:rsidP="00EB3A07">
      <w:pPr>
        <w:pStyle w:val="Prrafodelista"/>
        <w:numPr>
          <w:ilvl w:val="0"/>
          <w:numId w:val="12"/>
        </w:numPr>
        <w:spacing w:before="240" w:after="240" w:line="360" w:lineRule="auto"/>
        <w:ind w:right="49"/>
        <w:jc w:val="both"/>
        <w:rPr>
          <w:rFonts w:ascii="Palatino Linotype" w:hAnsi="Palatino Linotype" w:cs="Arial"/>
        </w:rPr>
      </w:pPr>
      <w:r w:rsidRPr="002E27F0">
        <w:rPr>
          <w:rFonts w:ascii="Palatino Linotype" w:hAnsi="Palatino Linotype" w:cs="Arial"/>
        </w:rPr>
        <w:t xml:space="preserve">La resolución determina puntualmente que resultan parcialmente fundadas las razones o motivos de inconformidad hechos valer por la recurrente en términos del Considerando </w:t>
      </w:r>
      <w:r w:rsidRPr="002E27F0">
        <w:rPr>
          <w:rFonts w:ascii="Palatino Linotype" w:hAnsi="Palatino Linotype" w:cs="Arial"/>
          <w:b/>
        </w:rPr>
        <w:t>QUINTO</w:t>
      </w:r>
      <w:r w:rsidRPr="002E27F0">
        <w:rPr>
          <w:rFonts w:ascii="Palatino Linotype" w:hAnsi="Palatino Linotype" w:cs="Arial"/>
        </w:rPr>
        <w:t xml:space="preserve">, por lo que se </w:t>
      </w:r>
      <w:r w:rsidRPr="002E27F0">
        <w:rPr>
          <w:rFonts w:ascii="Palatino Linotype" w:hAnsi="Palatino Linotype" w:cs="Arial"/>
          <w:b/>
        </w:rPr>
        <w:t>MODIFICA</w:t>
      </w:r>
      <w:r w:rsidRPr="002E27F0">
        <w:rPr>
          <w:rFonts w:ascii="Palatino Linotype" w:hAnsi="Palatino Linotype" w:cs="Arial"/>
        </w:rPr>
        <w:t xml:space="preserve"> la respuesta otorgada por el </w:t>
      </w:r>
      <w:r w:rsidRPr="002E27F0">
        <w:rPr>
          <w:rFonts w:ascii="Palatino Linotype" w:hAnsi="Palatino Linotype" w:cs="Arial"/>
          <w:b/>
        </w:rPr>
        <w:t>SUJETO OBLIGADO</w:t>
      </w:r>
      <w:r w:rsidRPr="002E27F0">
        <w:rPr>
          <w:rFonts w:ascii="Palatino Linotype" w:hAnsi="Palatino Linotype" w:cs="Arial"/>
        </w:rPr>
        <w:t xml:space="preserve"> y se ORDENA hacer entrega del acuerdo emitido por el Comité de Transparencia mediante el que se confirme la declaratoria de incompetencia respecto de la información solicitada.</w:t>
      </w:r>
    </w:p>
    <w:p w:rsidR="00EB3A07" w:rsidRPr="002E27F0" w:rsidRDefault="00EB3A07" w:rsidP="00EB3A07">
      <w:pPr>
        <w:pStyle w:val="Prrafodelista"/>
        <w:rPr>
          <w:rFonts w:ascii="Palatino Linotype" w:hAnsi="Palatino Linotype" w:cs="Arial"/>
        </w:rPr>
      </w:pPr>
    </w:p>
    <w:p w:rsidR="00EB3A07" w:rsidRPr="002E27F0" w:rsidRDefault="00EB3A07" w:rsidP="00EB3A07">
      <w:pPr>
        <w:pStyle w:val="Ttulo1"/>
        <w:numPr>
          <w:ilvl w:val="0"/>
          <w:numId w:val="13"/>
        </w:numPr>
        <w:rPr>
          <w:rFonts w:ascii="Palatino Linotype" w:hAnsi="Palatino Linotype"/>
          <w:b/>
          <w:color w:val="auto"/>
          <w:sz w:val="24"/>
          <w:szCs w:val="24"/>
        </w:rPr>
      </w:pPr>
      <w:bookmarkStart w:id="1" w:name="_Toc524961048"/>
      <w:r w:rsidRPr="002E27F0">
        <w:rPr>
          <w:rFonts w:ascii="Palatino Linotype" w:hAnsi="Palatino Linotype"/>
          <w:b/>
          <w:color w:val="auto"/>
          <w:sz w:val="24"/>
          <w:szCs w:val="24"/>
        </w:rPr>
        <w:t>De los requerimientos planteados en el recurso de revisión.</w:t>
      </w:r>
      <w:bookmarkEnd w:id="1"/>
    </w:p>
    <w:p w:rsidR="00EB3A07" w:rsidRPr="002E27F0" w:rsidRDefault="00EB3A07" w:rsidP="00EB3A07">
      <w:pPr>
        <w:pStyle w:val="Prrafodelista"/>
        <w:spacing w:line="360" w:lineRule="auto"/>
        <w:ind w:left="1080"/>
        <w:jc w:val="both"/>
        <w:rPr>
          <w:rFonts w:ascii="Palatino Linotype" w:hAnsi="Palatino Linotype" w:cs="Arial"/>
          <w:b/>
        </w:rPr>
      </w:pPr>
    </w:p>
    <w:p w:rsidR="00EB3A07" w:rsidRPr="002E27F0" w:rsidRDefault="00EB3A07" w:rsidP="00EB3A07">
      <w:pPr>
        <w:pStyle w:val="Prrafodelista"/>
        <w:numPr>
          <w:ilvl w:val="0"/>
          <w:numId w:val="12"/>
        </w:numPr>
        <w:spacing w:line="360" w:lineRule="auto"/>
        <w:jc w:val="both"/>
        <w:rPr>
          <w:rFonts w:ascii="Palatino Linotype" w:eastAsia="Times New Roman" w:hAnsi="Palatino Linotype" w:cs="Arial"/>
        </w:rPr>
      </w:pPr>
      <w:r w:rsidRPr="002E27F0">
        <w:rPr>
          <w:rFonts w:ascii="Palatino Linotype" w:hAnsi="Palatino Linotype"/>
          <w:b/>
          <w:lang w:val="es-ES_tradnl"/>
        </w:rPr>
        <w:lastRenderedPageBreak/>
        <w:t xml:space="preserve">El particular solicitó, </w:t>
      </w:r>
      <w:r w:rsidRPr="002E27F0">
        <w:rPr>
          <w:rFonts w:ascii="Palatino Linotype" w:hAnsi="Palatino Linotype" w:cs="Arial"/>
        </w:rPr>
        <w:t xml:space="preserve">mediante la solicitud de acceso a la información </w:t>
      </w:r>
      <w:r w:rsidRPr="002E27F0">
        <w:rPr>
          <w:rFonts w:ascii="Palatino Linotype" w:hAnsi="Palatino Linotype" w:cs="Arial"/>
          <w:b/>
        </w:rPr>
        <w:t>00124/SM/IP/2018, la siguiente información:</w:t>
      </w:r>
    </w:p>
    <w:p w:rsidR="00EB3A07" w:rsidRPr="002E27F0" w:rsidRDefault="00EB3A07" w:rsidP="00EB3A07">
      <w:pPr>
        <w:pStyle w:val="Prrafodelista"/>
        <w:spacing w:line="360" w:lineRule="auto"/>
        <w:ind w:left="360"/>
        <w:jc w:val="both"/>
        <w:rPr>
          <w:rFonts w:ascii="Palatino Linotype" w:eastAsia="Times New Roman" w:hAnsi="Palatino Linotype" w:cs="Arial"/>
        </w:rPr>
      </w:pPr>
      <w:r w:rsidRPr="002E27F0">
        <w:rPr>
          <w:rFonts w:ascii="Palatino Linotype" w:hAnsi="Palatino Linotype" w:cs="Arial"/>
        </w:rPr>
        <w:t xml:space="preserve"> </w:t>
      </w:r>
    </w:p>
    <w:p w:rsidR="00EB3A07" w:rsidRPr="002E27F0" w:rsidRDefault="00EB3A07" w:rsidP="00EB3A07">
      <w:pPr>
        <w:pStyle w:val="Prrafodelista"/>
        <w:numPr>
          <w:ilvl w:val="0"/>
          <w:numId w:val="14"/>
        </w:numPr>
        <w:spacing w:after="160" w:line="360" w:lineRule="auto"/>
        <w:ind w:left="567" w:right="616"/>
        <w:jc w:val="both"/>
        <w:rPr>
          <w:rFonts w:ascii="Palatino Linotype" w:hAnsi="Palatino Linotype" w:cs="Arial"/>
          <w:lang w:eastAsia="es-MX"/>
        </w:rPr>
      </w:pPr>
      <w:r w:rsidRPr="002E27F0">
        <w:rPr>
          <w:rFonts w:ascii="Palatino Linotype" w:hAnsi="Palatino Linotype" w:cs="Arial"/>
          <w:lang w:eastAsia="es-MX"/>
        </w:rPr>
        <w:t xml:space="preserve">Requisitos y costo para </w:t>
      </w:r>
      <w:proofErr w:type="spellStart"/>
      <w:r w:rsidRPr="002E27F0">
        <w:rPr>
          <w:rFonts w:ascii="Palatino Linotype" w:hAnsi="Palatino Linotype" w:cs="Arial"/>
          <w:lang w:eastAsia="es-MX"/>
        </w:rPr>
        <w:t>emplacar</w:t>
      </w:r>
      <w:proofErr w:type="spellEnd"/>
      <w:r w:rsidRPr="002E27F0">
        <w:rPr>
          <w:rFonts w:ascii="Palatino Linotype" w:hAnsi="Palatino Linotype" w:cs="Arial"/>
          <w:lang w:eastAsia="es-MX"/>
        </w:rPr>
        <w:t xml:space="preserve"> vehículos que fueron adquiridos mediante subasta por parte del H. Ayuntamiento de Atizapán de Zaragoza;</w:t>
      </w:r>
    </w:p>
    <w:p w:rsidR="00EB3A07" w:rsidRPr="002E27F0" w:rsidRDefault="00EB3A07" w:rsidP="00EB3A07">
      <w:pPr>
        <w:pStyle w:val="Prrafodelista"/>
        <w:numPr>
          <w:ilvl w:val="0"/>
          <w:numId w:val="14"/>
        </w:numPr>
        <w:spacing w:after="160" w:line="360" w:lineRule="auto"/>
        <w:ind w:left="567" w:right="616"/>
        <w:jc w:val="both"/>
        <w:rPr>
          <w:rFonts w:ascii="Palatino Linotype" w:hAnsi="Palatino Linotype" w:cs="Arial"/>
          <w:lang w:eastAsia="es-MX"/>
        </w:rPr>
      </w:pPr>
      <w:r w:rsidRPr="002E27F0">
        <w:rPr>
          <w:rFonts w:ascii="Palatino Linotype" w:hAnsi="Palatino Linotype" w:cs="Arial"/>
          <w:lang w:eastAsia="es-MX"/>
        </w:rPr>
        <w:t>Requisitos y trámites para el caso de los vehículos que no hayan sido dados de baja por el Ayuntamiento en cuanto a la baja de placas; y</w:t>
      </w:r>
    </w:p>
    <w:p w:rsidR="00EB3A07" w:rsidRPr="002E27F0" w:rsidRDefault="00EB3A07" w:rsidP="00EB3A07">
      <w:pPr>
        <w:pStyle w:val="Prrafodelista"/>
        <w:numPr>
          <w:ilvl w:val="0"/>
          <w:numId w:val="14"/>
        </w:numPr>
        <w:spacing w:after="160" w:line="360" w:lineRule="auto"/>
        <w:ind w:left="567" w:right="616"/>
        <w:jc w:val="both"/>
        <w:rPr>
          <w:rFonts w:ascii="Palatino Linotype" w:hAnsi="Palatino Linotype" w:cs="Arial"/>
          <w:lang w:eastAsia="es-MX"/>
        </w:rPr>
      </w:pPr>
      <w:r w:rsidRPr="002E27F0">
        <w:rPr>
          <w:rFonts w:ascii="Palatino Linotype" w:hAnsi="Palatino Linotype" w:cs="Arial"/>
          <w:lang w:eastAsia="es-MX"/>
        </w:rPr>
        <w:t>Fundamento legal:</w:t>
      </w:r>
    </w:p>
    <w:p w:rsidR="00EB3A07" w:rsidRPr="002E27F0" w:rsidRDefault="00EB3A07" w:rsidP="00EB3A07">
      <w:pPr>
        <w:pStyle w:val="Prrafodelista"/>
        <w:spacing w:before="240" w:after="240" w:line="360" w:lineRule="auto"/>
        <w:ind w:left="360" w:right="900"/>
        <w:jc w:val="both"/>
        <w:rPr>
          <w:rFonts w:ascii="Palatino Linotype" w:hAnsi="Palatino Linotype" w:cs="Arial"/>
          <w:i/>
          <w:sz w:val="22"/>
        </w:rPr>
      </w:pPr>
    </w:p>
    <w:p w:rsidR="00EB3A07" w:rsidRPr="002E27F0" w:rsidRDefault="00EB3A07" w:rsidP="005A772F">
      <w:pPr>
        <w:pStyle w:val="Prrafodelista"/>
        <w:numPr>
          <w:ilvl w:val="0"/>
          <w:numId w:val="12"/>
        </w:numPr>
        <w:spacing w:line="360" w:lineRule="auto"/>
        <w:jc w:val="both"/>
        <w:rPr>
          <w:rFonts w:ascii="Palatino Linotype" w:hAnsi="Palatino Linotype" w:cs="Arial"/>
          <w:i/>
        </w:rPr>
      </w:pPr>
      <w:r w:rsidRPr="002E27F0">
        <w:rPr>
          <w:rFonts w:ascii="Palatino Linotype" w:hAnsi="Palatino Linotype" w:cs="Arial"/>
        </w:rPr>
        <w:t xml:space="preserve">En respuesta el Sujeto Obligado a través del Director General del Registro Estatal de Transporte Público advirtió que para poder </w:t>
      </w:r>
      <w:proofErr w:type="spellStart"/>
      <w:r w:rsidRPr="002E27F0">
        <w:rPr>
          <w:rFonts w:ascii="Palatino Linotype" w:hAnsi="Palatino Linotype" w:cs="Arial"/>
        </w:rPr>
        <w:t>emplacar</w:t>
      </w:r>
      <w:proofErr w:type="spellEnd"/>
      <w:r w:rsidRPr="002E27F0">
        <w:rPr>
          <w:rFonts w:ascii="Palatino Linotype" w:hAnsi="Palatino Linotype" w:cs="Arial"/>
        </w:rPr>
        <w:t xml:space="preserve"> (alta de vehículos) para el servicio público se debe contar con el Título de la Concesión o permiso vigente que ampare el otorgamiento y/o autorización para la prestación de dicho servicio, una vez que se cuente con este documento, se deberán reunir los requisitos que enunció, los cuales corresponden al Código Administrativo del Estado de México y el Reglamento del Transporte Público y Servicios Conexos de la Entidad. Asimismo, manifestó que </w:t>
      </w:r>
      <w:r w:rsidRPr="002E27F0">
        <w:rPr>
          <w:rFonts w:ascii="Palatino Linotype" w:hAnsi="Palatino Linotype"/>
        </w:rPr>
        <w:t xml:space="preserve">para </w:t>
      </w:r>
      <w:proofErr w:type="spellStart"/>
      <w:r w:rsidRPr="002E27F0">
        <w:rPr>
          <w:rFonts w:ascii="Palatino Linotype" w:hAnsi="Palatino Linotype"/>
        </w:rPr>
        <w:t>emplacar</w:t>
      </w:r>
      <w:proofErr w:type="spellEnd"/>
      <w:r w:rsidRPr="002E27F0">
        <w:rPr>
          <w:rFonts w:ascii="Palatino Linotype" w:hAnsi="Palatino Linotype"/>
        </w:rPr>
        <w:t xml:space="preserve"> vehículos que pretendan operar en las modalidades de escolar, personal y/o turismo se deberán observar los requisitos contenidos en el “Acuerdo por el que se pública la Norma Técnica para la operación del servicio de transporte escolar, de personal y turismo”, publicado el </w:t>
      </w:r>
      <w:r w:rsidRPr="002E27F0">
        <w:rPr>
          <w:rFonts w:ascii="Palatino Linotype" w:hAnsi="Palatino Linotype"/>
        </w:rPr>
        <w:lastRenderedPageBreak/>
        <w:t>13 de mayo de 2011, en la Gaceta del Gobierno, mientras que para realizar la baja de vehículos que estuvieran dados de alta en la prestación del transporte público en sus diferentes modalidades debería cumplir con los requisitos que fueron enunciados.</w:t>
      </w:r>
    </w:p>
    <w:p w:rsidR="00EB3A07" w:rsidRPr="002E27F0" w:rsidRDefault="00EB3A07" w:rsidP="00EB3A07">
      <w:pPr>
        <w:pStyle w:val="Prrafodelista"/>
        <w:spacing w:before="240" w:after="240" w:line="360" w:lineRule="auto"/>
        <w:ind w:left="360" w:right="-3"/>
        <w:jc w:val="both"/>
        <w:rPr>
          <w:rFonts w:ascii="Palatino Linotype" w:hAnsi="Palatino Linotype" w:cs="Arial"/>
          <w:i/>
        </w:rPr>
      </w:pPr>
    </w:p>
    <w:p w:rsidR="00EB3A07" w:rsidRPr="002E27F0" w:rsidRDefault="00EB3A07" w:rsidP="00EB3A07">
      <w:pPr>
        <w:pStyle w:val="Prrafodelista"/>
        <w:numPr>
          <w:ilvl w:val="0"/>
          <w:numId w:val="12"/>
        </w:numPr>
        <w:spacing w:before="240" w:after="240" w:line="360" w:lineRule="auto"/>
        <w:ind w:right="-3"/>
        <w:jc w:val="both"/>
        <w:rPr>
          <w:rFonts w:ascii="Palatino Linotype" w:hAnsi="Palatino Linotype" w:cs="Arial"/>
          <w:b/>
          <w:i/>
        </w:rPr>
      </w:pPr>
      <w:r w:rsidRPr="002E27F0">
        <w:rPr>
          <w:rFonts w:ascii="Palatino Linotype" w:hAnsi="Palatino Linotype" w:cs="Arial"/>
        </w:rPr>
        <w:t>Por lo que corresponde a los montos establecidos</w:t>
      </w:r>
      <w:r w:rsidRPr="002E27F0">
        <w:rPr>
          <w:rFonts w:ascii="Palatino Linotype" w:hAnsi="Palatino Linotype" w:cs="Arial"/>
          <w:i/>
        </w:rPr>
        <w:t xml:space="preserve"> </w:t>
      </w:r>
      <w:r w:rsidRPr="002E27F0">
        <w:rPr>
          <w:rFonts w:ascii="Palatino Linotype" w:hAnsi="Palatino Linotype"/>
        </w:rPr>
        <w:t xml:space="preserve">para el ejercicio fiscal 2018 para los trámites de sustitución (alta y baja de placas), respecto de vehículos afectos a concesiones para la prestación del servicio de transporte público es de $592 y $451 respectivamente; </w:t>
      </w:r>
      <w:r w:rsidRPr="002E27F0">
        <w:rPr>
          <w:rFonts w:ascii="Palatino Linotype" w:hAnsi="Palatino Linotype"/>
          <w:b/>
        </w:rPr>
        <w:t xml:space="preserve">y finalmente, hizo del conocimiento de la solicitante que la Secretaría de Finanzas es quien cuenta con las atribuciones relativas al transporte de uso particular, tal y como lo establecen los artículos 7.4, fracción III y 7.8 del Código Administrativo del Estado de México. </w:t>
      </w:r>
    </w:p>
    <w:p w:rsidR="00EB3A07" w:rsidRPr="002E27F0" w:rsidRDefault="00EB3A07" w:rsidP="00EB3A07">
      <w:pPr>
        <w:pStyle w:val="Prrafodelista"/>
        <w:spacing w:before="240" w:after="240" w:line="360" w:lineRule="auto"/>
        <w:ind w:left="360" w:right="-3"/>
        <w:jc w:val="both"/>
        <w:rPr>
          <w:rFonts w:ascii="Palatino Linotype" w:hAnsi="Palatino Linotype" w:cs="Arial"/>
        </w:rPr>
      </w:pPr>
    </w:p>
    <w:p w:rsidR="00EB3A07" w:rsidRPr="002E27F0" w:rsidRDefault="00EB3A07" w:rsidP="00EB3A07">
      <w:pPr>
        <w:pStyle w:val="Prrafodelista"/>
        <w:numPr>
          <w:ilvl w:val="0"/>
          <w:numId w:val="12"/>
        </w:numPr>
        <w:spacing w:before="240" w:after="240" w:line="360" w:lineRule="auto"/>
        <w:ind w:right="-3"/>
        <w:jc w:val="both"/>
        <w:rPr>
          <w:rFonts w:ascii="Palatino Linotype" w:hAnsi="Palatino Linotype" w:cs="Arial"/>
        </w:rPr>
      </w:pPr>
      <w:r w:rsidRPr="002E27F0">
        <w:rPr>
          <w:rFonts w:ascii="Palatino Linotype" w:hAnsi="Palatino Linotype" w:cs="Arial"/>
        </w:rPr>
        <w:t>En ese sentido,</w:t>
      </w:r>
      <w:r w:rsidRPr="002E27F0">
        <w:rPr>
          <w:rFonts w:ascii="Palatino Linotype" w:hAnsi="Palatino Linotype" w:cs="Arial"/>
          <w:b/>
        </w:rPr>
        <w:t xml:space="preserve"> la recurrente en su recurso de revisión </w:t>
      </w:r>
      <w:r w:rsidRPr="002E27F0">
        <w:rPr>
          <w:rFonts w:ascii="Palatino Linotype" w:hAnsi="Palatino Linotype" w:cs="Arial"/>
        </w:rPr>
        <w:t>manifestó medularmente que no es la información que solicitó, toda vez que el requirió los requisitos para dar de alta vehículos particulares que fueron comprados al Ayuntamiento en subastas.</w:t>
      </w:r>
    </w:p>
    <w:p w:rsidR="00EB3A07" w:rsidRPr="002E27F0" w:rsidRDefault="00EB3A07" w:rsidP="00EB3A07">
      <w:pPr>
        <w:pStyle w:val="Prrafodelista"/>
        <w:rPr>
          <w:rFonts w:ascii="Palatino Linotype" w:hAnsi="Palatino Linotype" w:cs="Arial"/>
        </w:rPr>
      </w:pPr>
    </w:p>
    <w:p w:rsidR="00EB3A07" w:rsidRPr="002E27F0" w:rsidRDefault="00EB3A07" w:rsidP="00EB3A07">
      <w:pPr>
        <w:pStyle w:val="Prrafodelista"/>
        <w:numPr>
          <w:ilvl w:val="0"/>
          <w:numId w:val="12"/>
        </w:numPr>
        <w:spacing w:line="360" w:lineRule="auto"/>
        <w:jc w:val="both"/>
        <w:rPr>
          <w:rFonts w:ascii="Palatino Linotype" w:hAnsi="Palatino Linotype" w:cs="Arial"/>
        </w:rPr>
      </w:pPr>
      <w:r w:rsidRPr="002E27F0">
        <w:rPr>
          <w:rFonts w:ascii="Palatino Linotype" w:hAnsi="Palatino Linotype" w:cs="Arial"/>
        </w:rPr>
        <w:t xml:space="preserve">Sin embargo, el Sujeto Obligado en el informe justificado medularmente ratifica su respuesta, argumentando que en cuanto a los motivos o razones de inconformidad hechos valer por la recurrente, en respuesta se refirió que la </w:t>
      </w:r>
      <w:r w:rsidRPr="002E27F0">
        <w:rPr>
          <w:rFonts w:ascii="Palatino Linotype" w:hAnsi="Palatino Linotype" w:cs="Arial"/>
        </w:rPr>
        <w:lastRenderedPageBreak/>
        <w:t>Secretaría de Finanzas es quien tiene las atribuciones relativas al transporte de uso particular.</w:t>
      </w:r>
    </w:p>
    <w:p w:rsidR="00EB3A07" w:rsidRPr="002E27F0" w:rsidRDefault="00EB3A07" w:rsidP="00EB3A07">
      <w:pPr>
        <w:pStyle w:val="Prrafodelista"/>
        <w:rPr>
          <w:rFonts w:ascii="Palatino Linotype" w:hAnsi="Palatino Linotype" w:cs="Arial"/>
        </w:rPr>
      </w:pPr>
    </w:p>
    <w:p w:rsidR="00EB3A07" w:rsidRPr="002E27F0" w:rsidRDefault="00EB3A07" w:rsidP="00EB3A07">
      <w:pPr>
        <w:pStyle w:val="Ttulo1"/>
        <w:numPr>
          <w:ilvl w:val="0"/>
          <w:numId w:val="13"/>
        </w:numPr>
        <w:rPr>
          <w:rFonts w:ascii="Palatino Linotype" w:hAnsi="Palatino Linotype"/>
          <w:b/>
          <w:color w:val="auto"/>
          <w:sz w:val="24"/>
          <w:szCs w:val="24"/>
        </w:rPr>
      </w:pPr>
      <w:bookmarkStart w:id="2" w:name="_Toc524961049"/>
      <w:r w:rsidRPr="002E27F0">
        <w:rPr>
          <w:rFonts w:ascii="Palatino Linotype" w:hAnsi="Palatino Linotype"/>
          <w:b/>
          <w:color w:val="auto"/>
          <w:sz w:val="24"/>
          <w:szCs w:val="24"/>
        </w:rPr>
        <w:t>Análisis a la solicitud de acceso a la información pública.</w:t>
      </w:r>
      <w:bookmarkEnd w:id="2"/>
    </w:p>
    <w:p w:rsidR="00EB3A07" w:rsidRPr="002E27F0" w:rsidRDefault="00EB3A07" w:rsidP="00EB3A07">
      <w:pPr>
        <w:pStyle w:val="Prrafodelista"/>
        <w:spacing w:line="360" w:lineRule="auto"/>
        <w:ind w:left="1080"/>
        <w:jc w:val="both"/>
        <w:rPr>
          <w:rFonts w:ascii="Palatino Linotype" w:hAnsi="Palatino Linotype" w:cs="Arial"/>
          <w:b/>
        </w:rPr>
      </w:pPr>
    </w:p>
    <w:p w:rsidR="00EB3A07" w:rsidRPr="002E27F0" w:rsidRDefault="00EB3A07" w:rsidP="00EB3A07">
      <w:pPr>
        <w:pStyle w:val="Prrafodelista"/>
        <w:numPr>
          <w:ilvl w:val="0"/>
          <w:numId w:val="12"/>
        </w:numPr>
        <w:spacing w:line="360" w:lineRule="auto"/>
        <w:ind w:left="426"/>
        <w:jc w:val="both"/>
        <w:rPr>
          <w:rFonts w:ascii="Palatino Linotype" w:hAnsi="Palatino Linotype" w:cs="Arial"/>
        </w:rPr>
      </w:pPr>
      <w:r w:rsidRPr="002E27F0">
        <w:rPr>
          <w:rFonts w:ascii="Palatino Linotype" w:hAnsi="Palatino Linotype" w:cs="Arial"/>
        </w:rPr>
        <w:t>Para un correcto estudio del planteamiento que realizó el particular, no se debe perder de vista el requerimiento</w:t>
      </w:r>
      <w:r w:rsidR="00A6495C" w:rsidRPr="002E27F0">
        <w:rPr>
          <w:rFonts w:ascii="Palatino Linotype" w:hAnsi="Palatino Linotype" w:cs="Arial"/>
        </w:rPr>
        <w:t xml:space="preserve"> principal</w:t>
      </w:r>
      <w:r w:rsidRPr="002E27F0">
        <w:rPr>
          <w:rFonts w:ascii="Palatino Linotype" w:hAnsi="Palatino Linotype" w:cs="Arial"/>
        </w:rPr>
        <w:t xml:space="preserve">, siendo el siguiente: requisitos necesarios para </w:t>
      </w:r>
      <w:proofErr w:type="spellStart"/>
      <w:r w:rsidRPr="002E27F0">
        <w:rPr>
          <w:rFonts w:ascii="Palatino Linotype" w:hAnsi="Palatino Linotype" w:cs="Arial"/>
        </w:rPr>
        <w:t>emplacar</w:t>
      </w:r>
      <w:proofErr w:type="spellEnd"/>
      <w:r w:rsidRPr="002E27F0">
        <w:rPr>
          <w:rFonts w:ascii="Palatino Linotype" w:hAnsi="Palatino Linotype" w:cs="Arial"/>
        </w:rPr>
        <w:t xml:space="preserve"> (alta vehicular) los vehículos adquiridos mediante subasta por el H. Ayuntamiento. Atendiendo la literalidad de la solicitud, se entiende que requiere conocer los requisitos para </w:t>
      </w:r>
      <w:r w:rsidR="00756863" w:rsidRPr="002E27F0">
        <w:rPr>
          <w:rFonts w:ascii="Palatino Linotype" w:hAnsi="Palatino Linotype" w:cs="Arial"/>
        </w:rPr>
        <w:t xml:space="preserve">realizar </w:t>
      </w:r>
      <w:r w:rsidRPr="002E27F0">
        <w:rPr>
          <w:rFonts w:ascii="Palatino Linotype" w:hAnsi="Palatino Linotype" w:cs="Arial"/>
        </w:rPr>
        <w:t xml:space="preserve">el alta, </w:t>
      </w:r>
      <w:r w:rsidR="00756863" w:rsidRPr="002E27F0">
        <w:rPr>
          <w:rFonts w:ascii="Palatino Linotype" w:hAnsi="Palatino Linotype" w:cs="Arial"/>
        </w:rPr>
        <w:t xml:space="preserve">de </w:t>
      </w:r>
      <w:r w:rsidRPr="002E27F0">
        <w:rPr>
          <w:rFonts w:ascii="Palatino Linotype" w:hAnsi="Palatino Linotype" w:cs="Arial"/>
        </w:rPr>
        <w:t xml:space="preserve">los vehículos que adquirió el Ayuntamiento mediante subasta, es decir, </w:t>
      </w:r>
      <w:r w:rsidR="00756863" w:rsidRPr="002E27F0">
        <w:rPr>
          <w:rFonts w:ascii="Palatino Linotype" w:hAnsi="Palatino Linotype" w:cs="Arial"/>
        </w:rPr>
        <w:t xml:space="preserve">vehículos </w:t>
      </w:r>
      <w:r w:rsidRPr="002E27F0">
        <w:rPr>
          <w:rFonts w:ascii="Palatino Linotype" w:hAnsi="Palatino Linotype" w:cs="Arial"/>
        </w:rPr>
        <w:t>para el servicio público. Esto tomando en cuenta que las atribuciones del Sujeto Obligado en cuestión se basan, precisamente, en vehículos del servicio público.</w:t>
      </w:r>
    </w:p>
    <w:p w:rsidR="00EB3A07" w:rsidRPr="002E27F0" w:rsidRDefault="00EB3A07" w:rsidP="00EB3A07">
      <w:pPr>
        <w:pStyle w:val="Prrafodelista"/>
        <w:spacing w:line="360" w:lineRule="auto"/>
        <w:ind w:left="426"/>
        <w:jc w:val="both"/>
        <w:rPr>
          <w:rFonts w:ascii="Palatino Linotype" w:hAnsi="Palatino Linotype" w:cs="Arial"/>
        </w:rPr>
      </w:pPr>
    </w:p>
    <w:p w:rsidR="00EB3A07" w:rsidRPr="002E27F0" w:rsidRDefault="00EB3A07" w:rsidP="00EB3A07">
      <w:pPr>
        <w:pStyle w:val="Prrafodelista"/>
        <w:numPr>
          <w:ilvl w:val="0"/>
          <w:numId w:val="12"/>
        </w:numPr>
        <w:spacing w:line="360" w:lineRule="auto"/>
        <w:ind w:left="426"/>
        <w:jc w:val="both"/>
        <w:rPr>
          <w:rFonts w:ascii="Palatino Linotype" w:hAnsi="Palatino Linotype" w:cs="Arial"/>
        </w:rPr>
      </w:pPr>
      <w:r w:rsidRPr="002E27F0">
        <w:rPr>
          <w:rFonts w:ascii="Palatino Linotype" w:hAnsi="Palatino Linotype" w:cs="Arial"/>
        </w:rPr>
        <w:t xml:space="preserve">Luego entonces, el Sujeto Obligado en estricto apego al principio de máxima publicidad otorgó respuesta dando cumplimiento al requerimiento primeramente planteado, es decir, dio </w:t>
      </w:r>
      <w:r w:rsidR="00756863" w:rsidRPr="002E27F0">
        <w:rPr>
          <w:rFonts w:ascii="Palatino Linotype" w:hAnsi="Palatino Linotype" w:cs="Arial"/>
        </w:rPr>
        <w:t>a conocer los requisitos para</w:t>
      </w:r>
      <w:r w:rsidRPr="002E27F0">
        <w:rPr>
          <w:rFonts w:ascii="Palatino Linotype" w:hAnsi="Palatino Linotype" w:cs="Arial"/>
        </w:rPr>
        <w:t xml:space="preserve"> dar de alta vehículos del servicio público. Hasta este punto, se considera firmemente que se dio cabal cumplimiento al derecho accionado por la particular.</w:t>
      </w:r>
    </w:p>
    <w:p w:rsidR="00EB3A07" w:rsidRPr="002E27F0" w:rsidRDefault="00EB3A07" w:rsidP="00EB3A07">
      <w:pPr>
        <w:pStyle w:val="Prrafodelista"/>
        <w:rPr>
          <w:rFonts w:ascii="Palatino Linotype" w:hAnsi="Palatino Linotype" w:cs="Arial"/>
        </w:rPr>
      </w:pPr>
    </w:p>
    <w:p w:rsidR="00EB3A07" w:rsidRPr="002E27F0" w:rsidRDefault="00EB3A07" w:rsidP="00EB3A07">
      <w:pPr>
        <w:pStyle w:val="Prrafodelista"/>
        <w:numPr>
          <w:ilvl w:val="0"/>
          <w:numId w:val="12"/>
        </w:numPr>
        <w:spacing w:line="360" w:lineRule="auto"/>
        <w:ind w:left="426"/>
        <w:jc w:val="both"/>
        <w:rPr>
          <w:rFonts w:ascii="Palatino Linotype" w:hAnsi="Palatino Linotype" w:cs="Arial"/>
        </w:rPr>
      </w:pPr>
      <w:r w:rsidRPr="002E27F0">
        <w:rPr>
          <w:rFonts w:ascii="Palatino Linotype" w:hAnsi="Palatino Linotype" w:cs="Arial"/>
        </w:rPr>
        <w:t xml:space="preserve">Sin embargo, reconociendo el labor del Sujeto Obligado es de </w:t>
      </w:r>
      <w:r w:rsidR="00756863" w:rsidRPr="002E27F0">
        <w:rPr>
          <w:rFonts w:ascii="Palatino Linotype" w:hAnsi="Palatino Linotype" w:cs="Arial"/>
        </w:rPr>
        <w:t>subrayar</w:t>
      </w:r>
      <w:r w:rsidRPr="002E27F0">
        <w:rPr>
          <w:rFonts w:ascii="Palatino Linotype" w:hAnsi="Palatino Linotype" w:cs="Arial"/>
        </w:rPr>
        <w:t xml:space="preserve"> que </w:t>
      </w:r>
      <w:r w:rsidR="005A772F" w:rsidRPr="002E27F0">
        <w:rPr>
          <w:rFonts w:ascii="Palatino Linotype" w:hAnsi="Palatino Linotype" w:cs="Arial"/>
        </w:rPr>
        <w:t xml:space="preserve">para concluir con el escrito de </w:t>
      </w:r>
      <w:r w:rsidRPr="002E27F0">
        <w:rPr>
          <w:rFonts w:ascii="Palatino Linotype" w:hAnsi="Palatino Linotype" w:cs="Arial"/>
        </w:rPr>
        <w:t xml:space="preserve"> respuesta, manifestó lo siguiente:</w:t>
      </w:r>
    </w:p>
    <w:p w:rsidR="00EB3A07" w:rsidRPr="002E27F0" w:rsidRDefault="00EB3A07" w:rsidP="00EB3A07">
      <w:pPr>
        <w:rPr>
          <w:rFonts w:ascii="Palatino Linotype" w:hAnsi="Palatino Linotype" w:cs="Arial"/>
        </w:rPr>
      </w:pPr>
    </w:p>
    <w:p w:rsidR="00EB3A07" w:rsidRPr="002E27F0" w:rsidRDefault="00EB3A07" w:rsidP="00EB3A07">
      <w:pPr>
        <w:ind w:left="567" w:right="706"/>
        <w:jc w:val="both"/>
        <w:rPr>
          <w:rFonts w:ascii="Palatino Linotype" w:hAnsi="Palatino Linotype" w:cs="Arial"/>
        </w:rPr>
      </w:pPr>
      <w:r w:rsidRPr="002E27F0">
        <w:rPr>
          <w:rFonts w:ascii="Palatino Linotype" w:hAnsi="Palatino Linotype" w:cs="Arial"/>
          <w:i/>
        </w:rPr>
        <w:t>“…Finalmente, hago de su conocimiento que la Secretaría de Finanzas del Gobierno del Estado de México, es quien tiene las atribuciones relativas al transporte de uso particular, tal y como lo indican los artículos 7.4 fracción III y 7.8 del Código Administrativo del Estado de México;”</w:t>
      </w:r>
    </w:p>
    <w:p w:rsidR="00EB3A07" w:rsidRPr="002E27F0" w:rsidRDefault="00EB3A07" w:rsidP="00EB3A07">
      <w:pPr>
        <w:pStyle w:val="Prrafodelista"/>
        <w:spacing w:line="360" w:lineRule="auto"/>
        <w:ind w:left="426"/>
        <w:jc w:val="both"/>
        <w:rPr>
          <w:rFonts w:ascii="Palatino Linotype" w:hAnsi="Palatino Linotype" w:cs="Arial"/>
        </w:rPr>
      </w:pPr>
    </w:p>
    <w:p w:rsidR="00EB3A07" w:rsidRPr="002E27F0" w:rsidRDefault="00EB3A07" w:rsidP="00EB3A07">
      <w:pPr>
        <w:pStyle w:val="Prrafodelista"/>
        <w:numPr>
          <w:ilvl w:val="0"/>
          <w:numId w:val="12"/>
        </w:numPr>
        <w:spacing w:line="360" w:lineRule="auto"/>
        <w:ind w:left="426"/>
        <w:jc w:val="both"/>
        <w:rPr>
          <w:rFonts w:ascii="Palatino Linotype" w:hAnsi="Palatino Linotype" w:cs="Arial"/>
        </w:rPr>
      </w:pPr>
      <w:r w:rsidRPr="002E27F0">
        <w:rPr>
          <w:rFonts w:ascii="Palatino Linotype" w:hAnsi="Palatino Linotype" w:cs="Arial"/>
        </w:rPr>
        <w:t>Para tener una idea más clara de lo que se pretende, se transcribe el contenido de los preceptos legales citados por el Sujeto Obligado, siendo su contenido el siguiente:</w:t>
      </w:r>
    </w:p>
    <w:p w:rsidR="00EB3A07" w:rsidRPr="002E27F0" w:rsidRDefault="00EB3A07" w:rsidP="00EB3A07">
      <w:pPr>
        <w:widowControl w:val="0"/>
        <w:tabs>
          <w:tab w:val="left" w:pos="1418"/>
        </w:tabs>
        <w:autoSpaceDE w:val="0"/>
        <w:autoSpaceDN w:val="0"/>
        <w:adjustRightInd w:val="0"/>
        <w:spacing w:line="360" w:lineRule="auto"/>
        <w:ind w:left="567" w:right="706"/>
        <w:jc w:val="both"/>
        <w:rPr>
          <w:rFonts w:ascii="Palatino Linotype" w:hAnsi="Palatino Linotype"/>
          <w:i/>
        </w:rPr>
      </w:pPr>
      <w:r w:rsidRPr="002E27F0">
        <w:rPr>
          <w:rFonts w:ascii="Palatino Linotype" w:hAnsi="Palatino Linotype"/>
          <w:b/>
          <w:i/>
        </w:rPr>
        <w:t>“Artículo 7.4.-</w:t>
      </w:r>
      <w:r w:rsidRPr="002E27F0">
        <w:rPr>
          <w:rFonts w:ascii="Palatino Linotype" w:hAnsi="Palatino Linotype"/>
          <w:i/>
        </w:rPr>
        <w:t xml:space="preserve"> Son autoridades para la aplicación de este Libro: </w:t>
      </w:r>
    </w:p>
    <w:p w:rsidR="00EB3A07" w:rsidRPr="002E27F0" w:rsidRDefault="00EB3A07" w:rsidP="00EB3A07">
      <w:pPr>
        <w:widowControl w:val="0"/>
        <w:tabs>
          <w:tab w:val="left" w:pos="1418"/>
        </w:tabs>
        <w:autoSpaceDE w:val="0"/>
        <w:autoSpaceDN w:val="0"/>
        <w:adjustRightInd w:val="0"/>
        <w:spacing w:line="360" w:lineRule="auto"/>
        <w:ind w:left="567" w:right="706"/>
        <w:jc w:val="both"/>
        <w:rPr>
          <w:rFonts w:ascii="Palatino Linotype" w:hAnsi="Palatino Linotype"/>
          <w:i/>
        </w:rPr>
      </w:pPr>
      <w:r w:rsidRPr="002E27F0">
        <w:rPr>
          <w:rFonts w:ascii="Palatino Linotype" w:hAnsi="Palatino Linotype"/>
          <w:i/>
        </w:rPr>
        <w:t>…</w:t>
      </w:r>
    </w:p>
    <w:p w:rsidR="00EB3A07" w:rsidRPr="002E27F0" w:rsidRDefault="00EB3A07" w:rsidP="00EB3A07">
      <w:pPr>
        <w:widowControl w:val="0"/>
        <w:tabs>
          <w:tab w:val="left" w:pos="1418"/>
        </w:tabs>
        <w:autoSpaceDE w:val="0"/>
        <w:autoSpaceDN w:val="0"/>
        <w:adjustRightInd w:val="0"/>
        <w:spacing w:line="360" w:lineRule="auto"/>
        <w:ind w:left="567" w:right="706"/>
        <w:jc w:val="both"/>
        <w:rPr>
          <w:rFonts w:ascii="Palatino Linotype" w:hAnsi="Palatino Linotype"/>
          <w:i/>
        </w:rPr>
      </w:pPr>
      <w:r w:rsidRPr="002E27F0">
        <w:rPr>
          <w:rFonts w:ascii="Palatino Linotype" w:hAnsi="Palatino Linotype"/>
          <w:i/>
        </w:rPr>
        <w:t>III. La Secretaría de Finanzas, a quien corresponde las atribuciones relativas al transporte de uso particular.</w:t>
      </w:r>
    </w:p>
    <w:p w:rsidR="00EB3A07" w:rsidRPr="002E27F0" w:rsidRDefault="00EB3A07" w:rsidP="00EB3A07">
      <w:pPr>
        <w:widowControl w:val="0"/>
        <w:tabs>
          <w:tab w:val="left" w:pos="1418"/>
        </w:tabs>
        <w:autoSpaceDE w:val="0"/>
        <w:autoSpaceDN w:val="0"/>
        <w:adjustRightInd w:val="0"/>
        <w:spacing w:line="360" w:lineRule="auto"/>
        <w:ind w:left="567" w:right="706"/>
        <w:jc w:val="both"/>
        <w:rPr>
          <w:rFonts w:ascii="Palatino Linotype" w:hAnsi="Palatino Linotype"/>
          <w:i/>
        </w:rPr>
      </w:pPr>
      <w:r w:rsidRPr="002E27F0">
        <w:rPr>
          <w:rFonts w:ascii="Palatino Linotype" w:hAnsi="Palatino Linotype"/>
          <w:b/>
          <w:i/>
        </w:rPr>
        <w:t>Artículo 7.8.- Corresponde a la Secretaría de Finanzas matricular los vehículos destinados al transporte de uso particular, expidiendo las placas de matriculación, calcomanías, tarjetas de circulación y demás elementos de identificación que se estimen necesarios;</w:t>
      </w:r>
      <w:r w:rsidRPr="002E27F0">
        <w:rPr>
          <w:rFonts w:ascii="Palatino Linotype" w:hAnsi="Palatino Linotype"/>
          <w:i/>
        </w:rPr>
        <w:t xml:space="preserve"> así como realizar todos aquellos trámites de control vehicular que modifiquen y actualicen el registro del vehículo.</w:t>
      </w:r>
    </w:p>
    <w:p w:rsidR="00EB3A07" w:rsidRPr="002E27F0" w:rsidRDefault="00EB3A07" w:rsidP="00EB3A07">
      <w:pPr>
        <w:widowControl w:val="0"/>
        <w:tabs>
          <w:tab w:val="left" w:pos="1418"/>
        </w:tabs>
        <w:autoSpaceDE w:val="0"/>
        <w:autoSpaceDN w:val="0"/>
        <w:adjustRightInd w:val="0"/>
        <w:spacing w:line="360" w:lineRule="auto"/>
        <w:ind w:left="567" w:right="706"/>
        <w:jc w:val="both"/>
        <w:rPr>
          <w:rFonts w:ascii="Palatino Linotype" w:hAnsi="Palatino Linotype"/>
          <w:i/>
        </w:rPr>
      </w:pPr>
      <w:r w:rsidRPr="002E27F0">
        <w:rPr>
          <w:rFonts w:ascii="Palatino Linotype" w:hAnsi="Palatino Linotype"/>
          <w:b/>
          <w:i/>
        </w:rPr>
        <w:t>Para tal efecto, la Secretaría de Finanzas emitirá Reglas de Carácter General a través de las cuales se definan los procedimientos y requisitos para trámites de control vehicular,</w:t>
      </w:r>
      <w:r w:rsidRPr="002E27F0">
        <w:rPr>
          <w:rFonts w:ascii="Palatino Linotype" w:hAnsi="Palatino Linotype"/>
          <w:i/>
        </w:rPr>
        <w:t xml:space="preserve"> considerando, en su caso, el uso de medios electrónicos, debiendo publicarse en el Periódico Oficial "Gaceta del Gobierno".</w:t>
      </w:r>
    </w:p>
    <w:p w:rsidR="00EB3A07" w:rsidRPr="002E27F0" w:rsidRDefault="00EB3A07" w:rsidP="00EB3A07">
      <w:pPr>
        <w:pStyle w:val="Prrafodelista"/>
        <w:numPr>
          <w:ilvl w:val="0"/>
          <w:numId w:val="12"/>
        </w:numPr>
        <w:spacing w:line="360" w:lineRule="auto"/>
        <w:ind w:left="426"/>
        <w:jc w:val="both"/>
        <w:rPr>
          <w:rFonts w:ascii="Palatino Linotype" w:hAnsi="Palatino Linotype" w:cs="Arial"/>
        </w:rPr>
      </w:pPr>
      <w:r w:rsidRPr="002E27F0">
        <w:rPr>
          <w:rFonts w:ascii="Palatino Linotype" w:hAnsi="Palatino Linotype" w:cs="Arial"/>
        </w:rPr>
        <w:lastRenderedPageBreak/>
        <w:t xml:space="preserve">Ahora bien, a pesar de que el Sujeto Obligado fue muy preciso y claro al momento de emitir respuesta a la solicitud de acceso a la información pública, la parte recurrente se inconformó manifestando que </w:t>
      </w:r>
      <w:r w:rsidR="00756863" w:rsidRPr="002E27F0">
        <w:rPr>
          <w:rFonts w:ascii="Palatino Linotype" w:hAnsi="Palatino Linotype" w:cs="Arial"/>
        </w:rPr>
        <w:t>se</w:t>
      </w:r>
      <w:r w:rsidRPr="002E27F0">
        <w:rPr>
          <w:rFonts w:ascii="Palatino Linotype" w:hAnsi="Palatino Linotype" w:cs="Arial"/>
        </w:rPr>
        <w:t xml:space="preserve"> requirió información respecto de </w:t>
      </w:r>
      <w:r w:rsidRPr="002E27F0">
        <w:rPr>
          <w:rFonts w:ascii="Palatino Linotype" w:hAnsi="Palatino Linotype" w:cs="Arial"/>
          <w:b/>
        </w:rPr>
        <w:t>la alta de vehículos que fueron adquiridos por particulares en subastas realizadas por el Ayuntamiento de Atizapán de Zaragoza.</w:t>
      </w:r>
      <w:r w:rsidRPr="002E27F0">
        <w:rPr>
          <w:rFonts w:ascii="Palatino Linotype" w:hAnsi="Palatino Linotype" w:cs="Arial"/>
        </w:rPr>
        <w:t xml:space="preserve"> Dichas manifestaciones vertidas en el cuerpo del recurso de revisión no hacen referencia a lo que se solicitó en un inicio, sino más bien, van en caminadas a nuevos requerimientos mostrando un exceso </w:t>
      </w:r>
      <w:r w:rsidRPr="002E27F0">
        <w:rPr>
          <w:rFonts w:ascii="Palatino Linotype" w:eastAsia="Times New Roman" w:hAnsi="Palatino Linotype"/>
          <w:color w:val="000000"/>
          <w:lang w:eastAsia="es-MX"/>
        </w:rPr>
        <w:t>dentro de su inconformidad, siendo el caso que pretende ampliar lo solicitado de origen, lo que hace que se surta lo que en la teoría jurídica se le denomina como </w:t>
      </w:r>
      <w:r w:rsidRPr="00DD4655">
        <w:rPr>
          <w:rFonts w:ascii="Palatino Linotype" w:eastAsia="Times New Roman" w:hAnsi="Palatino Linotype"/>
          <w:b/>
          <w:bCs/>
          <w:i/>
          <w:color w:val="000000"/>
          <w:lang w:eastAsia="es-MX"/>
        </w:rPr>
        <w:t xml:space="preserve">plus </w:t>
      </w:r>
      <w:proofErr w:type="spellStart"/>
      <w:r w:rsidRPr="00DD4655">
        <w:rPr>
          <w:rFonts w:ascii="Palatino Linotype" w:eastAsia="Times New Roman" w:hAnsi="Palatino Linotype"/>
          <w:b/>
          <w:bCs/>
          <w:i/>
          <w:color w:val="000000"/>
          <w:lang w:eastAsia="es-MX"/>
        </w:rPr>
        <w:t>petitio</w:t>
      </w:r>
      <w:proofErr w:type="spellEnd"/>
      <w:r w:rsidRPr="00DD4655">
        <w:rPr>
          <w:rFonts w:ascii="Palatino Linotype" w:eastAsia="Times New Roman" w:hAnsi="Palatino Linotype"/>
          <w:i/>
          <w:color w:val="000000"/>
          <w:lang w:eastAsia="es-MX"/>
        </w:rPr>
        <w:t>.</w:t>
      </w:r>
    </w:p>
    <w:p w:rsidR="00B67AB6" w:rsidRPr="002E27F0" w:rsidRDefault="00B67AB6" w:rsidP="00B67AB6">
      <w:pPr>
        <w:pStyle w:val="Prrafodelista"/>
        <w:spacing w:line="360" w:lineRule="auto"/>
        <w:ind w:left="426"/>
        <w:jc w:val="both"/>
        <w:rPr>
          <w:rFonts w:ascii="Palatino Linotype" w:hAnsi="Palatino Linotype" w:cs="Arial"/>
        </w:rPr>
      </w:pPr>
    </w:p>
    <w:p w:rsidR="001813A0" w:rsidRPr="00564481" w:rsidRDefault="001813A0" w:rsidP="001813A0">
      <w:pPr>
        <w:spacing w:after="0" w:line="360" w:lineRule="auto"/>
        <w:jc w:val="both"/>
        <w:rPr>
          <w:rFonts w:ascii="Palatino Linotype" w:hAnsi="Palatino Linotype"/>
          <w:sz w:val="24"/>
          <w:szCs w:val="24"/>
        </w:rPr>
      </w:pPr>
      <w:r w:rsidRPr="00564481">
        <w:rPr>
          <w:rFonts w:ascii="Palatino Linotype" w:hAnsi="Palatino Linotype"/>
          <w:sz w:val="24"/>
          <w:szCs w:val="24"/>
        </w:rPr>
        <w:t>13.</w:t>
      </w:r>
      <w:r w:rsidRPr="00564481">
        <w:rPr>
          <w:rFonts w:ascii="Palatino Linotype" w:hAnsi="Palatino Linotype"/>
          <w:sz w:val="24"/>
          <w:szCs w:val="24"/>
        </w:rPr>
        <w:tab/>
        <w:t>Sirve de apoyo el criterio 01/17 emitido por el Instituto Nacional de Transparencia, Acceso a la Información y Protección de Datos Personales que establece lo siguiente:</w:t>
      </w:r>
    </w:p>
    <w:p w:rsidR="001813A0" w:rsidRPr="001813A0" w:rsidRDefault="001813A0" w:rsidP="001813A0">
      <w:pPr>
        <w:spacing w:after="0" w:line="240" w:lineRule="auto"/>
        <w:ind w:left="992" w:right="902"/>
        <w:jc w:val="both"/>
        <w:rPr>
          <w:rFonts w:ascii="Palatino Linotype" w:hAnsi="Palatino Linotype"/>
          <w:i/>
          <w:sz w:val="24"/>
          <w:szCs w:val="24"/>
        </w:rPr>
      </w:pPr>
      <w:r w:rsidRPr="00564481">
        <w:rPr>
          <w:rFonts w:ascii="Palatino Linotype" w:hAnsi="Palatino Linotype"/>
          <w:sz w:val="24"/>
          <w:szCs w:val="24"/>
        </w:rPr>
        <w:t xml:space="preserve"> </w:t>
      </w:r>
      <w:r w:rsidRPr="001813A0">
        <w:rPr>
          <w:rFonts w:ascii="Palatino Linotype" w:hAnsi="Palatino Linotype"/>
          <w:i/>
          <w:sz w:val="24"/>
          <w:szCs w:val="24"/>
        </w:rPr>
        <w:t>Es improcedente ampliar las solicitudes de acceso a información, a través de la interposición del recurso de revisión.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1813A0" w:rsidRPr="001813A0" w:rsidRDefault="001813A0" w:rsidP="001813A0">
      <w:pPr>
        <w:spacing w:after="0" w:line="240" w:lineRule="auto"/>
        <w:ind w:left="992" w:right="902"/>
        <w:jc w:val="both"/>
        <w:rPr>
          <w:rFonts w:ascii="Palatino Linotype" w:hAnsi="Palatino Linotype"/>
          <w:i/>
          <w:sz w:val="24"/>
          <w:szCs w:val="24"/>
        </w:rPr>
      </w:pPr>
      <w:r w:rsidRPr="001813A0">
        <w:rPr>
          <w:rFonts w:ascii="Palatino Linotype" w:hAnsi="Palatino Linotype"/>
          <w:i/>
          <w:sz w:val="24"/>
          <w:szCs w:val="24"/>
        </w:rPr>
        <w:t xml:space="preserve"> Resoluciones:</w:t>
      </w:r>
    </w:p>
    <w:p w:rsidR="001813A0" w:rsidRPr="001813A0" w:rsidRDefault="001813A0" w:rsidP="001813A0">
      <w:pPr>
        <w:spacing w:after="0" w:line="240" w:lineRule="auto"/>
        <w:ind w:left="992" w:right="902"/>
        <w:jc w:val="both"/>
        <w:rPr>
          <w:rFonts w:ascii="Palatino Linotype" w:hAnsi="Palatino Linotype"/>
          <w:i/>
          <w:sz w:val="24"/>
          <w:szCs w:val="24"/>
        </w:rPr>
      </w:pPr>
      <w:r w:rsidRPr="001813A0">
        <w:rPr>
          <w:rFonts w:ascii="Palatino Linotype" w:hAnsi="Palatino Linotype"/>
          <w:i/>
          <w:sz w:val="24"/>
          <w:szCs w:val="24"/>
        </w:rPr>
        <w:lastRenderedPageBreak/>
        <w:t>• RRA 0196/16. Secretaría de Agricultura, Ganadería, Desarrollo Rural, Pesca y</w:t>
      </w:r>
    </w:p>
    <w:p w:rsidR="001813A0" w:rsidRPr="001813A0" w:rsidRDefault="001813A0" w:rsidP="001813A0">
      <w:pPr>
        <w:spacing w:after="0" w:line="240" w:lineRule="auto"/>
        <w:ind w:left="992" w:right="902"/>
        <w:jc w:val="both"/>
        <w:rPr>
          <w:rFonts w:ascii="Palatino Linotype" w:hAnsi="Palatino Linotype"/>
          <w:i/>
          <w:sz w:val="24"/>
          <w:szCs w:val="24"/>
        </w:rPr>
      </w:pPr>
      <w:r w:rsidRPr="001813A0">
        <w:rPr>
          <w:rFonts w:ascii="Palatino Linotype" w:hAnsi="Palatino Linotype"/>
          <w:i/>
          <w:sz w:val="24"/>
          <w:szCs w:val="24"/>
        </w:rPr>
        <w:t>Alimentación. 13 de julio de 2016. Por unanimidad. Comisionado Ponente Joel</w:t>
      </w:r>
    </w:p>
    <w:p w:rsidR="001813A0" w:rsidRPr="001813A0" w:rsidRDefault="001813A0" w:rsidP="001813A0">
      <w:pPr>
        <w:spacing w:after="0" w:line="240" w:lineRule="auto"/>
        <w:ind w:left="992" w:right="902"/>
        <w:jc w:val="both"/>
        <w:rPr>
          <w:rFonts w:ascii="Palatino Linotype" w:hAnsi="Palatino Linotype"/>
          <w:i/>
          <w:sz w:val="24"/>
          <w:szCs w:val="24"/>
        </w:rPr>
      </w:pPr>
      <w:r w:rsidRPr="001813A0">
        <w:rPr>
          <w:rFonts w:ascii="Palatino Linotype" w:hAnsi="Palatino Linotype"/>
          <w:i/>
          <w:sz w:val="24"/>
          <w:szCs w:val="24"/>
        </w:rPr>
        <w:t>Salas Suárez.</w:t>
      </w:r>
    </w:p>
    <w:p w:rsidR="001813A0" w:rsidRPr="001813A0" w:rsidRDefault="001813A0" w:rsidP="001813A0">
      <w:pPr>
        <w:spacing w:after="0" w:line="240" w:lineRule="auto"/>
        <w:ind w:left="992" w:right="902"/>
        <w:jc w:val="both"/>
        <w:rPr>
          <w:rFonts w:ascii="Palatino Linotype" w:hAnsi="Palatino Linotype"/>
          <w:i/>
          <w:sz w:val="24"/>
          <w:szCs w:val="24"/>
        </w:rPr>
      </w:pPr>
      <w:r w:rsidRPr="001813A0">
        <w:rPr>
          <w:rFonts w:ascii="Palatino Linotype" w:hAnsi="Palatino Linotype"/>
          <w:i/>
          <w:sz w:val="24"/>
          <w:szCs w:val="24"/>
        </w:rPr>
        <w:t xml:space="preserve">• RRA 0130/16. Comisión Nacional del Agua. 09 de agosto de 2016. Por unanimidad. Comisionado Ponente María Patricia </w:t>
      </w:r>
      <w:proofErr w:type="spellStart"/>
      <w:r w:rsidRPr="001813A0">
        <w:rPr>
          <w:rFonts w:ascii="Palatino Linotype" w:hAnsi="Palatino Linotype"/>
          <w:i/>
          <w:sz w:val="24"/>
          <w:szCs w:val="24"/>
        </w:rPr>
        <w:t>Kurczyn</w:t>
      </w:r>
      <w:proofErr w:type="spellEnd"/>
      <w:r w:rsidRPr="001813A0">
        <w:rPr>
          <w:rFonts w:ascii="Palatino Linotype" w:hAnsi="Palatino Linotype"/>
          <w:i/>
          <w:sz w:val="24"/>
          <w:szCs w:val="24"/>
        </w:rPr>
        <w:t xml:space="preserve"> Villalobos.</w:t>
      </w:r>
    </w:p>
    <w:p w:rsidR="001813A0" w:rsidRPr="001813A0" w:rsidRDefault="001813A0" w:rsidP="001813A0">
      <w:pPr>
        <w:spacing w:after="0" w:line="240" w:lineRule="auto"/>
        <w:ind w:left="992" w:right="902"/>
        <w:jc w:val="both"/>
        <w:rPr>
          <w:rFonts w:ascii="Palatino Linotype" w:hAnsi="Palatino Linotype"/>
          <w:i/>
          <w:sz w:val="24"/>
          <w:szCs w:val="24"/>
        </w:rPr>
      </w:pPr>
      <w:r w:rsidRPr="001813A0">
        <w:rPr>
          <w:rFonts w:ascii="Palatino Linotype" w:hAnsi="Palatino Linotype"/>
          <w:i/>
          <w:sz w:val="24"/>
          <w:szCs w:val="24"/>
        </w:rPr>
        <w:t>• RRA 0342/16. Colegio de Bachilleres. 24 de agosto de 2016. Por unanimidad.</w:t>
      </w:r>
    </w:p>
    <w:p w:rsidR="001813A0" w:rsidRPr="001813A0" w:rsidRDefault="001813A0" w:rsidP="001813A0">
      <w:pPr>
        <w:spacing w:after="0" w:line="240" w:lineRule="auto"/>
        <w:ind w:left="992" w:right="902"/>
        <w:jc w:val="both"/>
        <w:rPr>
          <w:rFonts w:ascii="Palatino Linotype" w:hAnsi="Palatino Linotype"/>
          <w:i/>
          <w:sz w:val="24"/>
          <w:szCs w:val="24"/>
        </w:rPr>
      </w:pPr>
      <w:r w:rsidRPr="001813A0">
        <w:rPr>
          <w:rFonts w:ascii="Palatino Linotype" w:hAnsi="Palatino Linotype"/>
          <w:i/>
          <w:sz w:val="24"/>
          <w:szCs w:val="24"/>
        </w:rPr>
        <w:t>Comisionada Ponente Ximena Puente de la Mora.</w:t>
      </w:r>
    </w:p>
    <w:p w:rsidR="001813A0" w:rsidRPr="00564481" w:rsidRDefault="001813A0" w:rsidP="001813A0">
      <w:pPr>
        <w:spacing w:after="0" w:line="360" w:lineRule="auto"/>
        <w:jc w:val="both"/>
        <w:rPr>
          <w:rFonts w:ascii="Palatino Linotype" w:hAnsi="Palatino Linotype"/>
          <w:sz w:val="24"/>
          <w:szCs w:val="24"/>
        </w:rPr>
      </w:pPr>
    </w:p>
    <w:p w:rsidR="001813A0" w:rsidRPr="00564481" w:rsidRDefault="001813A0" w:rsidP="001813A0">
      <w:pPr>
        <w:spacing w:after="0" w:line="360" w:lineRule="auto"/>
        <w:jc w:val="both"/>
        <w:rPr>
          <w:rFonts w:ascii="Palatino Linotype" w:hAnsi="Palatino Linotype"/>
          <w:sz w:val="24"/>
          <w:szCs w:val="24"/>
        </w:rPr>
      </w:pPr>
      <w:r w:rsidRPr="00564481">
        <w:rPr>
          <w:rFonts w:ascii="Palatino Linotype" w:hAnsi="Palatino Linotype"/>
          <w:sz w:val="24"/>
          <w:szCs w:val="24"/>
        </w:rPr>
        <w:t>14.</w:t>
      </w:r>
      <w:r w:rsidRPr="00564481">
        <w:rPr>
          <w:rFonts w:ascii="Palatino Linotype" w:hAnsi="Palatino Linotype"/>
          <w:sz w:val="24"/>
          <w:szCs w:val="24"/>
        </w:rPr>
        <w:tab/>
        <w:t>Asimismo sirve de apoyo a lo anterior por analogía, la Jurisprudencia No. 29 visible a foja 19 del Apéndice al Semanario Judicial de la Federación 1917-1995, Torno VI, Materia Común, Primera Parte, Tesis de la Suprema Corte de Justicia, que contiene:</w:t>
      </w:r>
    </w:p>
    <w:p w:rsidR="001813A0" w:rsidRPr="001813A0" w:rsidRDefault="001813A0" w:rsidP="001813A0">
      <w:pPr>
        <w:spacing w:after="0" w:line="240" w:lineRule="auto"/>
        <w:ind w:left="851" w:right="618"/>
        <w:jc w:val="both"/>
        <w:rPr>
          <w:rFonts w:ascii="Palatino Linotype" w:hAnsi="Palatino Linotype"/>
          <w:i/>
          <w:sz w:val="24"/>
          <w:szCs w:val="24"/>
        </w:rPr>
      </w:pPr>
      <w:r w:rsidRPr="001813A0">
        <w:rPr>
          <w:rFonts w:ascii="Palatino Linotype" w:hAnsi="Palatino Linotype"/>
          <w:i/>
          <w:sz w:val="24"/>
          <w:szCs w:val="24"/>
        </w:rPr>
        <w:t>AGRAVIOS EN LA REVISIÓN. DEBEN ESTAR EN RELACIÓN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rsidR="00EB3A07" w:rsidRPr="002E27F0" w:rsidRDefault="00EB3A07" w:rsidP="00EB3A07">
      <w:pPr>
        <w:pStyle w:val="Prrafodelista"/>
        <w:spacing w:line="360" w:lineRule="auto"/>
        <w:ind w:left="426"/>
        <w:jc w:val="both"/>
        <w:rPr>
          <w:rFonts w:ascii="Palatino Linotype" w:hAnsi="Palatino Linotype" w:cs="Arial"/>
        </w:rPr>
      </w:pPr>
    </w:p>
    <w:p w:rsidR="00EB3A07" w:rsidRPr="002E27F0" w:rsidRDefault="00EB3A07" w:rsidP="00EB3A07">
      <w:pPr>
        <w:pStyle w:val="Prrafodelista"/>
        <w:numPr>
          <w:ilvl w:val="0"/>
          <w:numId w:val="12"/>
        </w:numPr>
        <w:spacing w:line="360" w:lineRule="auto"/>
        <w:ind w:left="426"/>
        <w:jc w:val="both"/>
        <w:rPr>
          <w:rFonts w:ascii="Palatino Linotype" w:hAnsi="Palatino Linotype" w:cs="Arial"/>
        </w:rPr>
      </w:pPr>
      <w:r w:rsidRPr="002E27F0">
        <w:rPr>
          <w:rFonts w:ascii="Palatino Linotype" w:hAnsi="Palatino Linotype" w:cs="Arial"/>
        </w:rPr>
        <w:lastRenderedPageBreak/>
        <w:t>Bajo dichas aseveraciones se considera que el Sujeto Obligado a través de su respuesta brindó la información que solicitó la parte recurrente, además</w:t>
      </w:r>
      <w:r w:rsidR="00756863" w:rsidRPr="002E27F0">
        <w:rPr>
          <w:rFonts w:ascii="Palatino Linotype" w:hAnsi="Palatino Linotype" w:cs="Arial"/>
        </w:rPr>
        <w:t>,</w:t>
      </w:r>
      <w:r w:rsidRPr="002E27F0">
        <w:rPr>
          <w:rFonts w:ascii="Palatino Linotype" w:hAnsi="Palatino Linotype" w:cs="Arial"/>
        </w:rPr>
        <w:t xml:space="preserve"> previendo cualquier situación manifestó su incompetencia sobre atribuciones relativas al transporte de uso particular, sin embargo, orientó al particular al Sujeto Obligado idóneo </w:t>
      </w:r>
      <w:r w:rsidR="00756863" w:rsidRPr="002E27F0">
        <w:rPr>
          <w:rFonts w:ascii="Palatino Linotype" w:hAnsi="Palatino Linotype" w:cs="Arial"/>
        </w:rPr>
        <w:t xml:space="preserve">para atender sus </w:t>
      </w:r>
      <w:r w:rsidRPr="002E27F0">
        <w:rPr>
          <w:rFonts w:ascii="Palatino Linotype" w:hAnsi="Palatino Linotype" w:cs="Arial"/>
        </w:rPr>
        <w:t>requerimientos.</w:t>
      </w:r>
    </w:p>
    <w:p w:rsidR="00EB3A07" w:rsidRPr="002E27F0" w:rsidRDefault="00EB3A07" w:rsidP="00EB3A07">
      <w:pPr>
        <w:pStyle w:val="Prrafodelista"/>
        <w:spacing w:line="360" w:lineRule="auto"/>
        <w:ind w:left="426"/>
        <w:jc w:val="both"/>
        <w:rPr>
          <w:rFonts w:ascii="Palatino Linotype" w:hAnsi="Palatino Linotype" w:cs="Arial"/>
        </w:rPr>
      </w:pPr>
    </w:p>
    <w:p w:rsidR="00756863" w:rsidRPr="002E27F0" w:rsidRDefault="00EB3A07" w:rsidP="00756863">
      <w:pPr>
        <w:pStyle w:val="Prrafodelista"/>
        <w:numPr>
          <w:ilvl w:val="0"/>
          <w:numId w:val="12"/>
        </w:numPr>
        <w:spacing w:line="360" w:lineRule="auto"/>
        <w:ind w:left="426"/>
        <w:jc w:val="both"/>
        <w:rPr>
          <w:rFonts w:ascii="Palatino Linotype" w:hAnsi="Palatino Linotype" w:cs="Arial"/>
        </w:rPr>
      </w:pPr>
      <w:r w:rsidRPr="002E27F0">
        <w:rPr>
          <w:rFonts w:ascii="Palatino Linotype" w:hAnsi="Palatino Linotype" w:cs="Arial"/>
        </w:rPr>
        <w:t xml:space="preserve">Es por ello, que no se comparte la forma en que la ponencia resolvió el presente recurso de revisión, en razón de que al ORDENAR el acuerdo de incompetencia emitido por el Comité de Transparencia se dan por hecho dos circunstancias. La primera </w:t>
      </w:r>
      <w:r w:rsidR="00756863" w:rsidRPr="002E27F0">
        <w:rPr>
          <w:rFonts w:ascii="Palatino Linotype" w:hAnsi="Palatino Linotype" w:cs="Arial"/>
        </w:rPr>
        <w:t>de ellas radica en que se asume,</w:t>
      </w:r>
      <w:r w:rsidRPr="002E27F0">
        <w:rPr>
          <w:rFonts w:ascii="Palatino Linotype" w:hAnsi="Palatino Linotype" w:cs="Arial"/>
        </w:rPr>
        <w:t xml:space="preserve"> que lo manifestado por la parte recurrente al momento de interponer el recurso de revisión es procedente y tiene relación directa con la solicitud, situación que no </w:t>
      </w:r>
      <w:r w:rsidR="00756863" w:rsidRPr="002E27F0">
        <w:rPr>
          <w:rFonts w:ascii="Palatino Linotype" w:hAnsi="Palatino Linotype" w:cs="Arial"/>
        </w:rPr>
        <w:t>es así.</w:t>
      </w:r>
      <w:r w:rsidRPr="002E27F0">
        <w:rPr>
          <w:rFonts w:ascii="Palatino Linotype" w:hAnsi="Palatino Linotype" w:cs="Arial"/>
        </w:rPr>
        <w:t xml:space="preserve"> Mientras que la segunda circunstancia versa en la respuesta otorgada, es decir, que ésta no cumplió con los requerimien</w:t>
      </w:r>
      <w:r w:rsidR="00756863" w:rsidRPr="002E27F0">
        <w:rPr>
          <w:rFonts w:ascii="Palatino Linotype" w:hAnsi="Palatino Linotype" w:cs="Arial"/>
        </w:rPr>
        <w:t>tos planteados, cuando lo cierto</w:t>
      </w:r>
      <w:r w:rsidRPr="002E27F0">
        <w:rPr>
          <w:rFonts w:ascii="Palatino Linotype" w:hAnsi="Palatino Linotype" w:cs="Arial"/>
        </w:rPr>
        <w:t xml:space="preserve"> es que fue muy clara, precisa y concreta, dando </w:t>
      </w:r>
      <w:r w:rsidR="00756863" w:rsidRPr="002E27F0">
        <w:rPr>
          <w:rFonts w:ascii="Palatino Linotype" w:hAnsi="Palatino Linotype" w:cs="Arial"/>
        </w:rPr>
        <w:t xml:space="preserve">plena </w:t>
      </w:r>
      <w:r w:rsidRPr="002E27F0">
        <w:rPr>
          <w:rFonts w:ascii="Palatino Linotype" w:hAnsi="Palatino Linotype" w:cs="Arial"/>
        </w:rPr>
        <w:t>contestación a la solicitud y</w:t>
      </w:r>
      <w:r w:rsidR="00756863" w:rsidRPr="002E27F0">
        <w:rPr>
          <w:rFonts w:ascii="Palatino Linotype" w:hAnsi="Palatino Linotype" w:cs="Arial"/>
        </w:rPr>
        <w:t>, además,</w:t>
      </w:r>
      <w:r w:rsidRPr="002E27F0">
        <w:rPr>
          <w:rFonts w:ascii="Palatino Linotype" w:hAnsi="Palatino Linotype" w:cs="Arial"/>
        </w:rPr>
        <w:t xml:space="preserve"> previendo que </w:t>
      </w:r>
      <w:r w:rsidR="00756863" w:rsidRPr="002E27F0">
        <w:rPr>
          <w:rFonts w:ascii="Palatino Linotype" w:hAnsi="Palatino Linotype" w:cs="Arial"/>
        </w:rPr>
        <w:t xml:space="preserve">en </w:t>
      </w:r>
      <w:r w:rsidRPr="002E27F0">
        <w:rPr>
          <w:rFonts w:ascii="Palatino Linotype" w:hAnsi="Palatino Linotype" w:cs="Arial"/>
        </w:rPr>
        <w:t xml:space="preserve">el </w:t>
      </w:r>
      <w:r w:rsidR="00756863" w:rsidRPr="002E27F0">
        <w:rPr>
          <w:rFonts w:ascii="Palatino Linotype" w:hAnsi="Palatino Linotype" w:cs="Arial"/>
        </w:rPr>
        <w:t xml:space="preserve">caso en que ésta no fuera en el sentido que se interpreta de la simple lectura, </w:t>
      </w:r>
      <w:r w:rsidRPr="002E27F0">
        <w:rPr>
          <w:rFonts w:ascii="Palatino Linotype" w:hAnsi="Palatino Linotype" w:cs="Arial"/>
        </w:rPr>
        <w:t>se realiza una correcta orientaci</w:t>
      </w:r>
      <w:r w:rsidR="00756863" w:rsidRPr="002E27F0">
        <w:rPr>
          <w:rFonts w:ascii="Palatino Linotype" w:hAnsi="Palatino Linotype" w:cs="Arial"/>
        </w:rPr>
        <w:t>ón al Sujeto Obligado que cuenta con atribuciones relativas al transporte de uso particular.</w:t>
      </w:r>
    </w:p>
    <w:p w:rsidR="00B67AB6" w:rsidRPr="002E27F0" w:rsidRDefault="00B67AB6" w:rsidP="00B67AB6">
      <w:pPr>
        <w:pStyle w:val="Prrafodelista"/>
        <w:rPr>
          <w:rFonts w:ascii="Palatino Linotype" w:hAnsi="Palatino Linotype" w:cs="Arial"/>
        </w:rPr>
      </w:pPr>
    </w:p>
    <w:p w:rsidR="00756863" w:rsidRPr="001813A0" w:rsidRDefault="00756863" w:rsidP="001813A0">
      <w:pPr>
        <w:rPr>
          <w:rFonts w:ascii="Palatino Linotype" w:hAnsi="Palatino Linotype" w:cs="Arial"/>
        </w:rPr>
      </w:pPr>
    </w:p>
    <w:p w:rsidR="00756863" w:rsidRPr="002E27F0" w:rsidRDefault="00756863" w:rsidP="00756863">
      <w:pPr>
        <w:pStyle w:val="Ttulo1"/>
        <w:numPr>
          <w:ilvl w:val="0"/>
          <w:numId w:val="13"/>
        </w:numPr>
        <w:rPr>
          <w:rFonts w:ascii="Palatino Linotype" w:hAnsi="Palatino Linotype"/>
          <w:b/>
          <w:color w:val="auto"/>
          <w:sz w:val="24"/>
        </w:rPr>
      </w:pPr>
      <w:bookmarkStart w:id="3" w:name="_Toc524961050"/>
      <w:r w:rsidRPr="002E27F0">
        <w:rPr>
          <w:rFonts w:ascii="Palatino Linotype" w:hAnsi="Palatino Linotype"/>
          <w:b/>
          <w:color w:val="auto"/>
          <w:sz w:val="24"/>
        </w:rPr>
        <w:t>CONCLUSIÓN</w:t>
      </w:r>
      <w:bookmarkEnd w:id="3"/>
    </w:p>
    <w:p w:rsidR="00756863" w:rsidRPr="002E27F0" w:rsidRDefault="00756863" w:rsidP="00756863">
      <w:pPr>
        <w:pStyle w:val="Prrafodelista"/>
        <w:rPr>
          <w:rFonts w:ascii="Palatino Linotype" w:hAnsi="Palatino Linotype" w:cs="Arial"/>
        </w:rPr>
      </w:pPr>
    </w:p>
    <w:p w:rsidR="00756863" w:rsidRPr="002E27F0" w:rsidRDefault="00756863" w:rsidP="00756863">
      <w:pPr>
        <w:pStyle w:val="Prrafodelista"/>
        <w:numPr>
          <w:ilvl w:val="0"/>
          <w:numId w:val="12"/>
        </w:numPr>
        <w:spacing w:line="360" w:lineRule="auto"/>
        <w:ind w:left="426"/>
        <w:jc w:val="both"/>
        <w:rPr>
          <w:rFonts w:ascii="Palatino Linotype" w:hAnsi="Palatino Linotype" w:cs="Arial"/>
        </w:rPr>
      </w:pPr>
      <w:r w:rsidRPr="002E27F0">
        <w:rPr>
          <w:rFonts w:ascii="Palatino Linotype" w:hAnsi="Palatino Linotype" w:cs="Arial"/>
        </w:rPr>
        <w:lastRenderedPageBreak/>
        <w:t xml:space="preserve">Por los argumentos plasmados en líneas anteriores se </w:t>
      </w:r>
      <w:r w:rsidR="00B67AB6" w:rsidRPr="002E27F0">
        <w:rPr>
          <w:rFonts w:ascii="Palatino Linotype" w:hAnsi="Palatino Linotype" w:cs="Arial"/>
        </w:rPr>
        <w:t>considera</w:t>
      </w:r>
      <w:r w:rsidRPr="002E27F0">
        <w:rPr>
          <w:rFonts w:ascii="Palatino Linotype" w:hAnsi="Palatino Linotype" w:cs="Arial"/>
        </w:rPr>
        <w:t xml:space="preserve"> que el Sujeto Obligado a través de su respuesta dio cabal cumplimiento al de</w:t>
      </w:r>
      <w:r w:rsidR="00B67AB6" w:rsidRPr="002E27F0">
        <w:rPr>
          <w:rFonts w:ascii="Palatino Linotype" w:hAnsi="Palatino Linotype" w:cs="Arial"/>
        </w:rPr>
        <w:t>recho accionado por la</w:t>
      </w:r>
      <w:r w:rsidRPr="002E27F0">
        <w:rPr>
          <w:rFonts w:ascii="Palatino Linotype" w:hAnsi="Palatino Linotype" w:cs="Arial"/>
        </w:rPr>
        <w:t xml:space="preserve"> </w:t>
      </w:r>
      <w:r w:rsidR="00B67AB6" w:rsidRPr="002E27F0">
        <w:rPr>
          <w:rFonts w:ascii="Palatino Linotype" w:hAnsi="Palatino Linotype" w:cs="Arial"/>
        </w:rPr>
        <w:t>parte recurrente en la solicitud y, lo conducente debió ser CONFIRMAR dicha respuesta. Toda vez que ordenar la entrega del acuerdo de incompetencia, supondría que es procedente ampliar una solicitud de acceso a la información a través de las razones o motivos de inconformidad hechos valer en la interposición del recurso de revisión.</w:t>
      </w:r>
    </w:p>
    <w:p w:rsidR="00EB3A07" w:rsidRPr="002E27F0" w:rsidRDefault="00EB3A07" w:rsidP="00EB3A07">
      <w:pPr>
        <w:pStyle w:val="Prrafodelista"/>
        <w:rPr>
          <w:rFonts w:ascii="Palatino Linotype" w:hAnsi="Palatino Linotype" w:cs="Arial"/>
          <w:sz w:val="22"/>
        </w:rPr>
      </w:pPr>
    </w:p>
    <w:p w:rsidR="00EB3A07" w:rsidRPr="002E27F0" w:rsidRDefault="00EB3A07" w:rsidP="00EB3A07">
      <w:pPr>
        <w:spacing w:line="360" w:lineRule="auto"/>
        <w:rPr>
          <w:rFonts w:ascii="Palatino Linotype" w:hAnsi="Palatino Linotype"/>
          <w:sz w:val="24"/>
          <w:szCs w:val="24"/>
        </w:rPr>
      </w:pPr>
    </w:p>
    <w:p w:rsidR="00B67AB6" w:rsidRDefault="00B67AB6" w:rsidP="00EB3A07">
      <w:pPr>
        <w:pStyle w:val="Sinespaciado"/>
        <w:spacing w:line="360" w:lineRule="auto"/>
        <w:jc w:val="center"/>
        <w:rPr>
          <w:rFonts w:ascii="Palatino Linotype" w:hAnsi="Palatino Linotype"/>
          <w:b/>
          <w:sz w:val="24"/>
          <w:szCs w:val="24"/>
        </w:rPr>
      </w:pPr>
    </w:p>
    <w:p w:rsidR="001813A0" w:rsidRDefault="001813A0" w:rsidP="00EB3A07">
      <w:pPr>
        <w:pStyle w:val="Sinespaciado"/>
        <w:spacing w:line="360" w:lineRule="auto"/>
        <w:jc w:val="center"/>
        <w:rPr>
          <w:rFonts w:ascii="Palatino Linotype" w:hAnsi="Palatino Linotype"/>
          <w:b/>
          <w:sz w:val="24"/>
          <w:szCs w:val="24"/>
        </w:rPr>
      </w:pPr>
    </w:p>
    <w:p w:rsidR="001813A0" w:rsidRPr="002E27F0" w:rsidRDefault="001813A0" w:rsidP="00EB3A07">
      <w:pPr>
        <w:pStyle w:val="Sinespaciado"/>
        <w:spacing w:line="360" w:lineRule="auto"/>
        <w:jc w:val="center"/>
        <w:rPr>
          <w:rFonts w:ascii="Palatino Linotype" w:hAnsi="Palatino Linotype"/>
          <w:b/>
          <w:sz w:val="24"/>
          <w:szCs w:val="24"/>
        </w:rPr>
      </w:pPr>
    </w:p>
    <w:p w:rsidR="00B67AB6" w:rsidRPr="002E27F0" w:rsidRDefault="00B67AB6" w:rsidP="00EB3A07">
      <w:pPr>
        <w:pStyle w:val="Sinespaciado"/>
        <w:spacing w:line="360" w:lineRule="auto"/>
        <w:jc w:val="center"/>
        <w:rPr>
          <w:rFonts w:ascii="Palatino Linotype" w:hAnsi="Palatino Linotype"/>
          <w:b/>
          <w:sz w:val="24"/>
          <w:szCs w:val="24"/>
        </w:rPr>
      </w:pPr>
    </w:p>
    <w:p w:rsidR="00B67AB6" w:rsidRPr="002E27F0" w:rsidRDefault="00B67AB6" w:rsidP="00B67AB6">
      <w:pPr>
        <w:pStyle w:val="Sinespaciado"/>
        <w:spacing w:line="360" w:lineRule="auto"/>
        <w:rPr>
          <w:rFonts w:ascii="Palatino Linotype" w:hAnsi="Palatino Linotype"/>
          <w:b/>
          <w:sz w:val="24"/>
          <w:szCs w:val="24"/>
        </w:rPr>
        <w:sectPr w:rsidR="00B67AB6" w:rsidRPr="002E27F0" w:rsidSect="004A077C">
          <w:headerReference w:type="even" r:id="rId8"/>
          <w:headerReference w:type="default" r:id="rId9"/>
          <w:footerReference w:type="default" r:id="rId10"/>
          <w:headerReference w:type="first" r:id="rId11"/>
          <w:pgSz w:w="12240" w:h="15840"/>
          <w:pgMar w:top="2552" w:right="1327" w:bottom="2836" w:left="1985" w:header="709" w:footer="586" w:gutter="0"/>
          <w:cols w:space="708"/>
          <w:docGrid w:linePitch="360"/>
        </w:sectPr>
      </w:pPr>
    </w:p>
    <w:p w:rsidR="00B67AB6" w:rsidRPr="002E27F0" w:rsidRDefault="00B67AB6" w:rsidP="00EB3A07">
      <w:pPr>
        <w:jc w:val="center"/>
        <w:rPr>
          <w:rFonts w:ascii="Palatino Linotype" w:hAnsi="Palatino Linotype"/>
          <w:b/>
          <w:szCs w:val="24"/>
        </w:rPr>
      </w:pPr>
      <w:r w:rsidRPr="002E27F0">
        <w:rPr>
          <w:rFonts w:ascii="Palatino Linotype" w:hAnsi="Palatino Linotype"/>
          <w:b/>
          <w:szCs w:val="24"/>
        </w:rPr>
        <w:lastRenderedPageBreak/>
        <w:t>LUIS GUSTAVO PARRA NORIEGA</w:t>
      </w:r>
    </w:p>
    <w:p w:rsidR="00B67AB6" w:rsidRPr="002E27F0" w:rsidRDefault="00B67AB6" w:rsidP="00EB3A07">
      <w:pPr>
        <w:jc w:val="center"/>
        <w:rPr>
          <w:rFonts w:ascii="Palatino Linotype" w:hAnsi="Palatino Linotype"/>
          <w:b/>
          <w:szCs w:val="24"/>
        </w:rPr>
      </w:pPr>
      <w:r w:rsidRPr="002E27F0">
        <w:rPr>
          <w:rFonts w:ascii="Palatino Linotype" w:hAnsi="Palatino Linotype"/>
          <w:b/>
          <w:szCs w:val="24"/>
        </w:rPr>
        <w:t>COMISIONADO</w:t>
      </w:r>
    </w:p>
    <w:p w:rsidR="00B67AB6" w:rsidRPr="002E27F0" w:rsidRDefault="00B67AB6" w:rsidP="00EB3A07">
      <w:pPr>
        <w:jc w:val="center"/>
        <w:rPr>
          <w:rFonts w:ascii="Palatino Linotype" w:hAnsi="Palatino Linotype"/>
          <w:b/>
          <w:szCs w:val="24"/>
        </w:rPr>
      </w:pPr>
      <w:r w:rsidRPr="002E27F0">
        <w:rPr>
          <w:rFonts w:ascii="Palatino Linotype" w:hAnsi="Palatino Linotype"/>
          <w:b/>
          <w:szCs w:val="24"/>
        </w:rPr>
        <w:t>(Rúbrica)</w:t>
      </w:r>
    </w:p>
    <w:p w:rsidR="00B67AB6" w:rsidRPr="002E27F0" w:rsidRDefault="00B67AB6" w:rsidP="00B67AB6">
      <w:pPr>
        <w:pStyle w:val="Sinespaciado"/>
        <w:spacing w:line="360" w:lineRule="auto"/>
        <w:ind w:right="-285"/>
        <w:jc w:val="center"/>
        <w:rPr>
          <w:rFonts w:ascii="Palatino Linotype" w:hAnsi="Palatino Linotype"/>
          <w:b/>
          <w:szCs w:val="24"/>
        </w:rPr>
      </w:pPr>
      <w:r w:rsidRPr="002E27F0">
        <w:rPr>
          <w:rFonts w:ascii="Palatino Linotype" w:hAnsi="Palatino Linotype"/>
          <w:b/>
          <w:szCs w:val="24"/>
        </w:rPr>
        <w:lastRenderedPageBreak/>
        <w:t>JOSÉ GUADALUPE LUNA HERNÁNDEZ</w:t>
      </w:r>
    </w:p>
    <w:p w:rsidR="00B67AB6" w:rsidRPr="002E27F0" w:rsidRDefault="00B67AB6" w:rsidP="00B67AB6">
      <w:pPr>
        <w:ind w:right="-285"/>
        <w:jc w:val="center"/>
        <w:rPr>
          <w:sz w:val="20"/>
        </w:rPr>
      </w:pPr>
      <w:r w:rsidRPr="002E27F0">
        <w:rPr>
          <w:rFonts w:ascii="Palatino Linotype" w:hAnsi="Palatino Linotype"/>
          <w:b/>
          <w:szCs w:val="24"/>
        </w:rPr>
        <w:t>COMISIONADO</w:t>
      </w:r>
    </w:p>
    <w:p w:rsidR="00B67AB6" w:rsidRDefault="00B67AB6" w:rsidP="00B67AB6">
      <w:pPr>
        <w:jc w:val="center"/>
        <w:rPr>
          <w:rFonts w:ascii="Palatino Linotype" w:hAnsi="Palatino Linotype"/>
          <w:b/>
          <w:sz w:val="24"/>
          <w:szCs w:val="24"/>
        </w:rPr>
        <w:sectPr w:rsidR="00B67AB6" w:rsidSect="00B67AB6">
          <w:type w:val="continuous"/>
          <w:pgSz w:w="12240" w:h="15840"/>
          <w:pgMar w:top="2552" w:right="1327" w:bottom="2836" w:left="1985" w:header="709" w:footer="586" w:gutter="0"/>
          <w:cols w:num="2" w:space="708"/>
          <w:docGrid w:linePitch="360"/>
        </w:sectPr>
      </w:pPr>
      <w:r w:rsidRPr="002E27F0">
        <w:rPr>
          <w:rFonts w:ascii="Palatino Linotype" w:hAnsi="Palatino Linotype"/>
          <w:b/>
          <w:szCs w:val="24"/>
        </w:rPr>
        <w:t>(Rúbrica)</w:t>
      </w:r>
    </w:p>
    <w:p w:rsidR="00EB3A07" w:rsidRDefault="00EB3A07" w:rsidP="00B67AB6">
      <w:pPr>
        <w:jc w:val="center"/>
        <w:rPr>
          <w:rFonts w:ascii="Palatino Linotype" w:hAnsi="Palatino Linotype"/>
          <w:b/>
          <w:sz w:val="24"/>
          <w:szCs w:val="24"/>
        </w:rPr>
      </w:pPr>
      <w:bookmarkStart w:id="4" w:name="_GoBack"/>
      <w:bookmarkEnd w:id="4"/>
    </w:p>
    <w:sectPr w:rsidR="00EB3A07" w:rsidSect="00B67AB6">
      <w:type w:val="continuous"/>
      <w:pgSz w:w="12240" w:h="15840"/>
      <w:pgMar w:top="2552"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5BF" w:rsidRDefault="00AB15BF" w:rsidP="00907451">
      <w:pPr>
        <w:spacing w:after="0" w:line="240" w:lineRule="auto"/>
      </w:pPr>
      <w:r>
        <w:separator/>
      </w:r>
    </w:p>
  </w:endnote>
  <w:endnote w:type="continuationSeparator" w:id="0">
    <w:p w:rsidR="00AB15BF" w:rsidRDefault="00AB15BF"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75FBB">
      <w:rPr>
        <w:rFonts w:ascii="Arial" w:hAnsi="Arial" w:cs="Arial"/>
        <w:b/>
        <w:bCs/>
        <w:noProof/>
        <w:sz w:val="20"/>
        <w:szCs w:val="20"/>
      </w:rPr>
      <w:t>10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75FBB">
      <w:rPr>
        <w:rFonts w:ascii="Arial" w:hAnsi="Arial" w:cs="Arial"/>
        <w:b/>
        <w:bCs/>
        <w:noProof/>
        <w:sz w:val="20"/>
        <w:szCs w:val="20"/>
      </w:rPr>
      <w:t>10</w:t>
    </w:r>
    <w:r w:rsidRPr="00986599">
      <w:rPr>
        <w:rFonts w:ascii="Arial" w:hAnsi="Arial" w:cs="Arial"/>
        <w:b/>
        <w:bCs/>
        <w:sz w:val="20"/>
        <w:szCs w:val="20"/>
      </w:rPr>
      <w:fldChar w:fldCharType="end"/>
    </w:r>
  </w:p>
  <w:p w:rsidR="00D758BE" w:rsidRDefault="00575FBB"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5BF" w:rsidRDefault="00AB15BF" w:rsidP="00907451">
      <w:pPr>
        <w:spacing w:after="0" w:line="240" w:lineRule="auto"/>
      </w:pPr>
      <w:r>
        <w:separator/>
      </w:r>
    </w:p>
  </w:footnote>
  <w:footnote w:type="continuationSeparator" w:id="0">
    <w:p w:rsidR="00AB15BF" w:rsidRDefault="00AB15BF"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575FB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606188" o:spid="_x0000_s2050" type="#_x0000_t136" style="position:absolute;margin-left:0;margin-top:0;width:561.9pt;height:67.4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575FBB" w:rsidP="007263BB">
    <w:pPr>
      <w:pStyle w:val="Encabezado"/>
      <w:jc w:val="right"/>
      <w:rPr>
        <w:rFonts w:ascii="Arial" w:hAnsi="Arial" w:cs="Arial"/>
        <w:sz w:val="20"/>
        <w:szCs w:val="20"/>
      </w:rPr>
    </w:pPr>
  </w:p>
  <w:p w:rsidR="00D758BE" w:rsidRDefault="00575FBB"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606189" o:spid="_x0000_s2049" type="#_x0000_t136" alt="OPINIÓN PARTICULAR" style="position:absolute;left:0;text-align:left;margin-left:0;margin-top:0;width:561.9pt;height:67.4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CONCURRENTE"/>
          <w10:wrap anchorx="margin" anchory="margin"/>
        </v:shape>
      </w:pict>
    </w:r>
  </w:p>
  <w:p w:rsidR="00D758BE" w:rsidRDefault="00575FBB"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w:t>
    </w:r>
    <w:r w:rsidR="00532CDB">
      <w:rPr>
        <w:rFonts w:ascii="Palatino Linotype" w:hAnsi="Palatino Linotype" w:cs="Arial"/>
        <w:b/>
        <w:sz w:val="20"/>
        <w:szCs w:val="20"/>
      </w:rPr>
      <w:t>PARTICULAR</w:t>
    </w:r>
    <w:r w:rsidR="00057319" w:rsidRPr="00563D0F">
      <w:rPr>
        <w:rFonts w:ascii="Palatino Linotype" w:hAnsi="Palatino Linotype" w:cs="Arial"/>
        <w:b/>
        <w:sz w:val="20"/>
        <w:szCs w:val="20"/>
      </w:rPr>
      <w:t xml:space="preserve"> </w:t>
    </w:r>
    <w:r>
      <w:rPr>
        <w:rFonts w:ascii="Palatino Linotype" w:hAnsi="Palatino Linotype" w:cs="Arial"/>
        <w:b/>
        <w:sz w:val="20"/>
        <w:szCs w:val="20"/>
      </w:rPr>
      <w:t>CONCURRENTE</w:t>
    </w:r>
  </w:p>
  <w:p w:rsidR="00233AB2" w:rsidRPr="001813A0" w:rsidRDefault="00057319" w:rsidP="001813A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5A772F">
      <w:rPr>
        <w:rFonts w:ascii="Palatino Linotype" w:hAnsi="Palatino Linotype" w:cs="Arial"/>
        <w:b/>
        <w:sz w:val="20"/>
        <w:szCs w:val="20"/>
      </w:rPr>
      <w:t xml:space="preserve">REVISIÓN </w:t>
    </w:r>
    <w:r w:rsidR="005A772F" w:rsidRPr="005A772F">
      <w:rPr>
        <w:rFonts w:ascii="Palatino Linotype" w:hAnsi="Palatino Linotype" w:cs="Arial"/>
        <w:b/>
        <w:sz w:val="20"/>
        <w:szCs w:val="20"/>
      </w:rPr>
      <w:t>02542</w:t>
    </w:r>
    <w:r w:rsidR="00897E24" w:rsidRPr="005A772F">
      <w:rPr>
        <w:rFonts w:ascii="Palatino Linotype" w:hAnsi="Palatino Linotype" w:cs="Arial"/>
        <w:b/>
        <w:sz w:val="20"/>
        <w:szCs w:val="20"/>
      </w:rPr>
      <w:t>/INFOEM</w:t>
    </w:r>
    <w:r w:rsidR="00897E24" w:rsidRPr="00897E24">
      <w:rPr>
        <w:rFonts w:ascii="Palatino Linotype" w:hAnsi="Palatino Linotype" w:cs="Arial"/>
        <w:b/>
        <w:sz w:val="20"/>
        <w:szCs w:val="20"/>
      </w:rPr>
      <w:t>/IP/RR/201</w:t>
    </w:r>
    <w:r w:rsidR="004A7809">
      <w:rPr>
        <w:rFonts w:ascii="Palatino Linotype" w:hAnsi="Palatino Linotype" w:cs="Arial"/>
        <w:b/>
        <w:sz w:val="20"/>
        <w:szCs w:val="20"/>
      </w:rP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575FB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606187" o:spid="_x0000_s2051" type="#_x0000_t136" style="position:absolute;margin-left:0;margin-top:0;width:561.9pt;height:67.4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317490"/>
    <w:multiLevelType w:val="hybridMultilevel"/>
    <w:tmpl w:val="42CC19C8"/>
    <w:lvl w:ilvl="0" w:tplc="843672CA">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91B0459"/>
    <w:multiLevelType w:val="hybridMultilevel"/>
    <w:tmpl w:val="0504CF6C"/>
    <w:lvl w:ilvl="0" w:tplc="0636C386">
      <w:start w:val="4"/>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F7E15A5"/>
    <w:multiLevelType w:val="hybridMultilevel"/>
    <w:tmpl w:val="11263C4A"/>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9B14A29"/>
    <w:multiLevelType w:val="hybridMultilevel"/>
    <w:tmpl w:val="9F948E86"/>
    <w:lvl w:ilvl="0" w:tplc="6FB87EEC">
      <w:start w:val="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B5541D6"/>
    <w:multiLevelType w:val="hybridMultilevel"/>
    <w:tmpl w:val="F7DA2E08"/>
    <w:lvl w:ilvl="0" w:tplc="A578737A">
      <w:start w:val="5"/>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7202FA"/>
    <w:multiLevelType w:val="hybridMultilevel"/>
    <w:tmpl w:val="1418509A"/>
    <w:lvl w:ilvl="0" w:tplc="7E78310A">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9E27874"/>
    <w:multiLevelType w:val="hybridMultilevel"/>
    <w:tmpl w:val="AF2A66F8"/>
    <w:lvl w:ilvl="0" w:tplc="3B5C8230">
      <w:start w:val="7"/>
      <w:numFmt w:val="decimal"/>
      <w:lvlText w:val="%1."/>
      <w:lvlJc w:val="left"/>
      <w:pPr>
        <w:ind w:left="720" w:hanging="360"/>
      </w:pPr>
      <w:rPr>
        <w:rFonts w:eastAsia="Times New Roman" w:hint="default"/>
        <w:b/>
        <w:i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A004ECB"/>
    <w:multiLevelType w:val="hybridMultilevel"/>
    <w:tmpl w:val="8C865D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9BC7172"/>
    <w:multiLevelType w:val="hybridMultilevel"/>
    <w:tmpl w:val="D1FE72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7"/>
  </w:num>
  <w:num w:numId="6">
    <w:abstractNumId w:val="8"/>
  </w:num>
  <w:num w:numId="7">
    <w:abstractNumId w:val="10"/>
  </w:num>
  <w:num w:numId="8">
    <w:abstractNumId w:val="12"/>
  </w:num>
  <w:num w:numId="9">
    <w:abstractNumId w:val="3"/>
  </w:num>
  <w:num w:numId="10">
    <w:abstractNumId w:val="2"/>
  </w:num>
  <w:num w:numId="11">
    <w:abstractNumId w:val="11"/>
  </w:num>
  <w:num w:numId="12">
    <w:abstractNumId w:val="9"/>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248FB"/>
    <w:rsid w:val="000278A0"/>
    <w:rsid w:val="0004196F"/>
    <w:rsid w:val="00057319"/>
    <w:rsid w:val="000607BA"/>
    <w:rsid w:val="00087C03"/>
    <w:rsid w:val="000906EA"/>
    <w:rsid w:val="000B37CE"/>
    <w:rsid w:val="000C74C1"/>
    <w:rsid w:val="000D61ED"/>
    <w:rsid w:val="000E522E"/>
    <w:rsid w:val="000F1397"/>
    <w:rsid w:val="00155046"/>
    <w:rsid w:val="00156565"/>
    <w:rsid w:val="001634D5"/>
    <w:rsid w:val="001813A0"/>
    <w:rsid w:val="001822F4"/>
    <w:rsid w:val="00191B9D"/>
    <w:rsid w:val="001B2455"/>
    <w:rsid w:val="001C19F3"/>
    <w:rsid w:val="001C55E5"/>
    <w:rsid w:val="001C5D46"/>
    <w:rsid w:val="001D6690"/>
    <w:rsid w:val="00245DCD"/>
    <w:rsid w:val="002501C9"/>
    <w:rsid w:val="00265A6C"/>
    <w:rsid w:val="00274E34"/>
    <w:rsid w:val="0029100F"/>
    <w:rsid w:val="00292D40"/>
    <w:rsid w:val="002A5ADD"/>
    <w:rsid w:val="002A6359"/>
    <w:rsid w:val="002B4C96"/>
    <w:rsid w:val="002E27F0"/>
    <w:rsid w:val="003673FE"/>
    <w:rsid w:val="00394DF1"/>
    <w:rsid w:val="003A18A9"/>
    <w:rsid w:val="003B4966"/>
    <w:rsid w:val="003D2E2E"/>
    <w:rsid w:val="003F066F"/>
    <w:rsid w:val="00444B7E"/>
    <w:rsid w:val="0044634E"/>
    <w:rsid w:val="00451E96"/>
    <w:rsid w:val="00456467"/>
    <w:rsid w:val="00475CF8"/>
    <w:rsid w:val="004A077C"/>
    <w:rsid w:val="004A29DA"/>
    <w:rsid w:val="004A7809"/>
    <w:rsid w:val="004E0092"/>
    <w:rsid w:val="00505F5A"/>
    <w:rsid w:val="00506B74"/>
    <w:rsid w:val="005220CF"/>
    <w:rsid w:val="00532CDB"/>
    <w:rsid w:val="005549ED"/>
    <w:rsid w:val="00571172"/>
    <w:rsid w:val="00575FBB"/>
    <w:rsid w:val="005777C1"/>
    <w:rsid w:val="005A6F4A"/>
    <w:rsid w:val="005A772F"/>
    <w:rsid w:val="005C7341"/>
    <w:rsid w:val="005F4C0C"/>
    <w:rsid w:val="00604F0A"/>
    <w:rsid w:val="006214D7"/>
    <w:rsid w:val="00661FF4"/>
    <w:rsid w:val="0067076F"/>
    <w:rsid w:val="00682E40"/>
    <w:rsid w:val="006A3A73"/>
    <w:rsid w:val="006C34A1"/>
    <w:rsid w:val="006C470E"/>
    <w:rsid w:val="006E048C"/>
    <w:rsid w:val="006F1FB8"/>
    <w:rsid w:val="006F346D"/>
    <w:rsid w:val="00707CE9"/>
    <w:rsid w:val="007207C3"/>
    <w:rsid w:val="0073232E"/>
    <w:rsid w:val="00756863"/>
    <w:rsid w:val="007A2695"/>
    <w:rsid w:val="007A42B3"/>
    <w:rsid w:val="007A453F"/>
    <w:rsid w:val="007B6EE5"/>
    <w:rsid w:val="007E41C2"/>
    <w:rsid w:val="007F7EDB"/>
    <w:rsid w:val="00842B5C"/>
    <w:rsid w:val="00842C57"/>
    <w:rsid w:val="00847227"/>
    <w:rsid w:val="00853B1A"/>
    <w:rsid w:val="0087478C"/>
    <w:rsid w:val="00892DF4"/>
    <w:rsid w:val="00897E24"/>
    <w:rsid w:val="008A4206"/>
    <w:rsid w:val="008A56D2"/>
    <w:rsid w:val="008C3587"/>
    <w:rsid w:val="009049ED"/>
    <w:rsid w:val="00907451"/>
    <w:rsid w:val="00936FC7"/>
    <w:rsid w:val="00954322"/>
    <w:rsid w:val="00956FEF"/>
    <w:rsid w:val="009611D3"/>
    <w:rsid w:val="009725E9"/>
    <w:rsid w:val="00980508"/>
    <w:rsid w:val="009C140C"/>
    <w:rsid w:val="00A01E1E"/>
    <w:rsid w:val="00A0672E"/>
    <w:rsid w:val="00A21005"/>
    <w:rsid w:val="00A416B4"/>
    <w:rsid w:val="00A57CEB"/>
    <w:rsid w:val="00A62E74"/>
    <w:rsid w:val="00A6495C"/>
    <w:rsid w:val="00A71E21"/>
    <w:rsid w:val="00AB15BF"/>
    <w:rsid w:val="00AD2CAF"/>
    <w:rsid w:val="00AE5FC4"/>
    <w:rsid w:val="00AF50EB"/>
    <w:rsid w:val="00B02DEB"/>
    <w:rsid w:val="00B300D4"/>
    <w:rsid w:val="00B438A9"/>
    <w:rsid w:val="00B547F4"/>
    <w:rsid w:val="00B64C32"/>
    <w:rsid w:val="00B64DA8"/>
    <w:rsid w:val="00B67AB6"/>
    <w:rsid w:val="00B67B3B"/>
    <w:rsid w:val="00B8624B"/>
    <w:rsid w:val="00B86427"/>
    <w:rsid w:val="00B95ED4"/>
    <w:rsid w:val="00BD2BE3"/>
    <w:rsid w:val="00BE1031"/>
    <w:rsid w:val="00BE252D"/>
    <w:rsid w:val="00BF55CE"/>
    <w:rsid w:val="00C02ADD"/>
    <w:rsid w:val="00C165D4"/>
    <w:rsid w:val="00C21B5F"/>
    <w:rsid w:val="00C279CF"/>
    <w:rsid w:val="00C44E15"/>
    <w:rsid w:val="00C62646"/>
    <w:rsid w:val="00C9164A"/>
    <w:rsid w:val="00D32E4F"/>
    <w:rsid w:val="00D53061"/>
    <w:rsid w:val="00DA32D9"/>
    <w:rsid w:val="00DC752B"/>
    <w:rsid w:val="00DD4655"/>
    <w:rsid w:val="00DF3F1F"/>
    <w:rsid w:val="00DF48F7"/>
    <w:rsid w:val="00DF6001"/>
    <w:rsid w:val="00DF7C4F"/>
    <w:rsid w:val="00E11030"/>
    <w:rsid w:val="00E20299"/>
    <w:rsid w:val="00E30FFD"/>
    <w:rsid w:val="00E920D4"/>
    <w:rsid w:val="00E93F84"/>
    <w:rsid w:val="00EA17C1"/>
    <w:rsid w:val="00EB3A07"/>
    <w:rsid w:val="00EC2774"/>
    <w:rsid w:val="00ED5E1B"/>
    <w:rsid w:val="00EF4784"/>
    <w:rsid w:val="00F156BE"/>
    <w:rsid w:val="00F24291"/>
    <w:rsid w:val="00F360E0"/>
    <w:rsid w:val="00F464E1"/>
    <w:rsid w:val="00F466F2"/>
    <w:rsid w:val="00F76B05"/>
    <w:rsid w:val="00FB3172"/>
    <w:rsid w:val="00FD33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paragraph" w:styleId="Ttulo1">
    <w:name w:val="heading 1"/>
    <w:basedOn w:val="Normal"/>
    <w:next w:val="Normal"/>
    <w:link w:val="Ttulo1Car"/>
    <w:uiPriority w:val="9"/>
    <w:qFormat/>
    <w:rsid w:val="00EA17C1"/>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050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0508"/>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unhideWhenUsed/>
    <w:rsid w:val="00980508"/>
    <w:rPr>
      <w:vertAlign w:val="superscript"/>
    </w:rPr>
  </w:style>
  <w:style w:type="character" w:customStyle="1" w:styleId="Ttulo1Car">
    <w:name w:val="Título 1 Car"/>
    <w:basedOn w:val="Fuentedeprrafopredeter"/>
    <w:link w:val="Ttulo1"/>
    <w:uiPriority w:val="9"/>
    <w:rsid w:val="00EA17C1"/>
    <w:rPr>
      <w:rFonts w:asciiTheme="majorHAnsi" w:eastAsiaTheme="majorEastAsia" w:hAnsiTheme="majorHAnsi" w:cstheme="majorBidi"/>
      <w:color w:val="2E74B5" w:themeColor="accent1" w:themeShade="BF"/>
      <w:sz w:val="32"/>
      <w:szCs w:val="32"/>
    </w:rPr>
  </w:style>
  <w:style w:type="paragraph" w:styleId="Sinespaciado">
    <w:name w:val="No Spacing"/>
    <w:aliases w:val="Francesa"/>
    <w:link w:val="SinespaciadoCar"/>
    <w:uiPriority w:val="1"/>
    <w:qFormat/>
    <w:rsid w:val="00EA17C1"/>
    <w:pPr>
      <w:spacing w:after="0" w:line="240" w:lineRule="auto"/>
    </w:pPr>
  </w:style>
  <w:style w:type="paragraph" w:styleId="TDC1">
    <w:name w:val="toc 1"/>
    <w:basedOn w:val="Normal"/>
    <w:next w:val="Normal"/>
    <w:autoRedefine/>
    <w:uiPriority w:val="39"/>
    <w:unhideWhenUsed/>
    <w:rsid w:val="00EA17C1"/>
    <w:pPr>
      <w:tabs>
        <w:tab w:val="left" w:pos="440"/>
        <w:tab w:val="right" w:leader="dot" w:pos="8828"/>
      </w:tabs>
      <w:spacing w:after="100" w:line="480" w:lineRule="auto"/>
      <w:ind w:left="426" w:hanging="426"/>
    </w:pPr>
  </w:style>
  <w:style w:type="character" w:styleId="Hipervnculo">
    <w:name w:val="Hyperlink"/>
    <w:basedOn w:val="Fuentedeprrafopredeter"/>
    <w:uiPriority w:val="99"/>
    <w:unhideWhenUsed/>
    <w:rsid w:val="00EA17C1"/>
    <w:rPr>
      <w:color w:val="0563C1" w:themeColor="hyperlink"/>
      <w:u w:val="single"/>
    </w:rPr>
  </w:style>
  <w:style w:type="character" w:customStyle="1" w:styleId="SinespaciadoCar">
    <w:name w:val="Sin espaciado Car"/>
    <w:aliases w:val="Francesa Car"/>
    <w:link w:val="Sinespaciado"/>
    <w:uiPriority w:val="1"/>
    <w:locked/>
    <w:rsid w:val="00EA17C1"/>
  </w:style>
  <w:style w:type="paragraph" w:customStyle="1" w:styleId="Cuerpo">
    <w:name w:val="Cuerpo"/>
    <w:rsid w:val="00EA17C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paragraph" w:styleId="TtulodeTDC">
    <w:name w:val="TOC Heading"/>
    <w:basedOn w:val="Ttulo1"/>
    <w:next w:val="Normal"/>
    <w:uiPriority w:val="39"/>
    <w:unhideWhenUsed/>
    <w:qFormat/>
    <w:rsid w:val="00E93F84"/>
    <w:pPr>
      <w:outlineLvl w:val="9"/>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D70B38A-9AB3-4424-8278-286FF2472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1920</Words>
  <Characters>10565</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2018-09-17T20:22:00Z</cp:lastPrinted>
  <dcterms:created xsi:type="dcterms:W3CDTF">2018-10-29T17:59:00Z</dcterms:created>
  <dcterms:modified xsi:type="dcterms:W3CDTF">2018-10-29T17:59:00Z</dcterms:modified>
</cp:coreProperties>
</file>